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13.020.10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 04</w:t>
            </w:r>
            <w:r>
              <w:rPr>
                <w:rFonts w:ascii="黑体" w:hAnsi="黑体" w:eastAsia="黑体"/>
                <w:sz w:val="21"/>
                <w:szCs w:val="21"/>
              </w:rPr>
              <w:fldChar w:fldCharType="end"/>
            </w:r>
            <w:bookmarkEnd w:id="1"/>
          </w:p>
        </w:tc>
      </w:tr>
    </w:tbl>
    <w:p>
      <w:pPr>
        <w:pStyle w:val="50"/>
        <w:framePr w:w="9639" w:h="624" w:hRule="exact" w:hSpace="181" w:vSpace="181" w:wrap="around" w:hAnchor="page" w:x="1305" w:y="2269"/>
      </w:pPr>
      <w:bookmarkStart w:id="2" w:name="_Hlk26473981"/>
      <w:r>
        <w:rPr>
          <w:rFonts w:hint="eastAsia"/>
        </w:rPr>
        <w:t>中华人民共和国国家标准</w:t>
      </w:r>
    </w:p>
    <w:bookmarkEnd w:id="2"/>
    <w:p>
      <w:pPr>
        <w:pStyle w:val="195"/>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XXXXX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ind w:left="8080"/>
        <w:rPr>
          <w:rFonts w:ascii="黑体" w:hAnsi="黑体" w:eastAsia="黑体"/>
          <w:kern w:val="0"/>
          <w:sz w:val="52"/>
          <w:szCs w:val="20"/>
        </w:rPr>
      </w:pPr>
      <w:r>
        <w:rPr>
          <w:rFonts w:ascii="黑体" w:hAnsi="黑体" w:eastAsia="黑体"/>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hAnsi="黑体" w:eastAsia="黑体"/>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温室气体</w:t>
      </w:r>
      <w:r>
        <w:t xml:space="preserve">排放核算与报告要求 </w:t>
      </w:r>
    </w:p>
    <w:p>
      <w:pPr>
        <w:pStyle w:val="197"/>
        <w:framePr w:h="6974" w:hRule="exact" w:wrap="around" w:x="1419" w:anchorLock="1"/>
      </w:pPr>
      <w:r>
        <w:t>第X部分：</w:t>
      </w:r>
      <w:r>
        <w:rPr>
          <w:rFonts w:hint="eastAsia"/>
          <w:lang w:eastAsia="zh-CN"/>
        </w:rPr>
        <w:t>建筑防水材料</w:t>
      </w:r>
      <w:r>
        <w:t>生产企业</w:t>
      </w:r>
      <w:r>
        <w:fldChar w:fldCharType="end"/>
      </w:r>
      <w:bookmarkEnd w:id="7"/>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Requirements of the greenhouse gas emission</w:t>
      </w:r>
      <w:r>
        <w:rPr>
          <w:rFonts w:hint="eastAsia" w:eastAsia="黑体"/>
          <w:szCs w:val="28"/>
        </w:rPr>
        <w:t>s</w:t>
      </w:r>
      <w:r>
        <w:rPr>
          <w:rFonts w:eastAsia="黑体"/>
          <w:szCs w:val="28"/>
        </w:rPr>
        <w:t xml:space="preserve"> accounting and reporting—</w:t>
      </w:r>
    </w:p>
    <w:p>
      <w:pPr>
        <w:pStyle w:val="125"/>
        <w:framePr w:w="9639" w:h="6974" w:hRule="exact" w:wrap="around" w:vAnchor="page" w:hAnchor="page" w:x="1419" w:y="6408" w:anchorLock="1"/>
        <w:textAlignment w:val="bottom"/>
        <w:rPr>
          <w:rFonts w:eastAsia="黑体"/>
          <w:szCs w:val="28"/>
        </w:rPr>
      </w:pPr>
      <w:r>
        <w:rPr>
          <w:rFonts w:eastAsia="黑体"/>
          <w:szCs w:val="28"/>
        </w:rPr>
        <w:t xml:space="preserve">Part X: </w:t>
      </w:r>
      <w:r>
        <w:rPr>
          <w:rFonts w:hint="eastAsia" w:eastAsia="黑体"/>
          <w:szCs w:val="28"/>
        </w:rPr>
        <w:t>Building waterproof material enterpris</w:t>
      </w:r>
      <w:r>
        <w:rPr>
          <w:rFonts w:eastAsia="黑体"/>
          <w:szCs w:val="28"/>
        </w:rPr>
        <w:fldChar w:fldCharType="end"/>
      </w:r>
      <w:bookmarkEnd w:id="8"/>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9"/>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drawing>
          <wp:anchor distT="0" distB="0" distL="114300" distR="114300" simplePos="0" relativeHeight="251663360" behindDoc="0" locked="0" layoutInCell="1" allowOverlap="1">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hint="eastAsia"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hint="eastAsia" w:ascii="宋体" w:hAnsi="宋体"/>
          <w:sz w:val="28"/>
          <w:szCs w:val="28"/>
        </w:rPr>
        <w:t>`</w:t>
      </w:r>
    </w:p>
    <w:p>
      <w:pPr>
        <w:pStyle w:val="91"/>
        <w:spacing w:after="468"/>
        <w:rPr>
          <w:rFonts w:ascii="Times New Roman" w:hAnsi="Times New Roman"/>
        </w:rPr>
      </w:pPr>
      <w:bookmarkStart w:id="19" w:name="BookMark1"/>
      <w:bookmarkStart w:id="20" w:name="_Toc128676547"/>
      <w:bookmarkStart w:id="21" w:name="_Toc128508432"/>
      <w:bookmarkStart w:id="22" w:name="_Toc128508348"/>
      <w:bookmarkStart w:id="23" w:name="_Toc128585837"/>
      <w:bookmarkStart w:id="24" w:name="_Toc128508280"/>
      <w:r>
        <w:rPr>
          <w:rFonts w:ascii="Times New Roman" w:hAnsi="Times New Roman"/>
          <w:spacing w:val="320"/>
        </w:rPr>
        <w:t>目</w:t>
      </w:r>
      <w:r>
        <w:rPr>
          <w:rFonts w:ascii="Times New Roman" w:hAnsi="Times New Roman"/>
        </w:rPr>
        <w:t>次</w:t>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TOC \o "1-1" \h \t "标准文件_一级条标题,2,标准文件_附录一级条标题,2,"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HYPERLINK \l _Toc25363 </w:instrText>
      </w:r>
      <w:r>
        <w:rPr>
          <w:rFonts w:ascii="Times New Roman" w:hAnsi="Times New Roman"/>
        </w:rPr>
        <w:fldChar w:fldCharType="separate"/>
      </w:r>
      <w:r>
        <w:rPr>
          <w:spacing w:val="320"/>
        </w:rPr>
        <w:t>前</w:t>
      </w:r>
      <w:r>
        <w:t>言</w:t>
      </w:r>
      <w:r>
        <w:tab/>
      </w:r>
      <w:r>
        <w:fldChar w:fldCharType="begin"/>
      </w:r>
      <w:r>
        <w:instrText xml:space="preserve"> PAGEREF _Toc25363 \h </w:instrText>
      </w:r>
      <w:r>
        <w:fldChar w:fldCharType="separate"/>
      </w:r>
      <w:r>
        <w:t>II</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_Toc9254 </w:instrText>
      </w:r>
      <w:r>
        <w:rPr>
          <w:rFonts w:ascii="Times New Roman" w:hAnsi="Times New Roman"/>
        </w:rPr>
        <w:fldChar w:fldCharType="separate"/>
      </w:r>
      <w:r>
        <w:rPr>
          <w:rFonts w:hint="eastAsia"/>
          <w:spacing w:val="320"/>
        </w:rPr>
        <w:t>引</w:t>
      </w:r>
      <w:r>
        <w:t>言</w:t>
      </w:r>
      <w:r>
        <w:tab/>
      </w:r>
      <w:r>
        <w:fldChar w:fldCharType="begin"/>
      </w:r>
      <w:r>
        <w:instrText xml:space="preserve"> PAGEREF _Toc9254 \h </w:instrText>
      </w:r>
      <w:r>
        <w:fldChar w:fldCharType="separate"/>
      </w:r>
      <w:r>
        <w:t>III</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_Toc889 </w:instrText>
      </w:r>
      <w:r>
        <w:rPr>
          <w:rFonts w:ascii="Times New Roman" w:hAnsi="Times New Roman"/>
        </w:rPr>
        <w:fldChar w:fldCharType="separate"/>
      </w:r>
      <w:r>
        <w:rPr>
          <w:rFonts w:hint="default" w:ascii="Times New Roman" w:hAnsi="Times New Roman" w:eastAsia="黑体" w:cs="Times New Roman"/>
          <w:i w:val="0"/>
        </w:rPr>
        <w:t xml:space="preserve">1 </w:t>
      </w:r>
      <w:r>
        <w:rPr>
          <w:rFonts w:ascii="Times New Roman"/>
        </w:rPr>
        <w:t>范围</w:t>
      </w:r>
      <w:r>
        <w:tab/>
      </w:r>
      <w:r>
        <w:fldChar w:fldCharType="begin"/>
      </w:r>
      <w:r>
        <w:instrText xml:space="preserve"> PAGEREF _Toc889 \h </w:instrText>
      </w:r>
      <w:r>
        <w:fldChar w:fldCharType="separate"/>
      </w:r>
      <w:r>
        <w:t>4</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_Toc1035 </w:instrText>
      </w:r>
      <w:r>
        <w:rPr>
          <w:rFonts w:ascii="Times New Roman" w:hAnsi="Times New Roman"/>
        </w:rPr>
        <w:fldChar w:fldCharType="separate"/>
      </w:r>
      <w:r>
        <w:rPr>
          <w:rFonts w:hint="default" w:ascii="Times New Roman" w:hAnsi="Times New Roman" w:eastAsia="黑体" w:cs="Times New Roman"/>
          <w:i w:val="0"/>
        </w:rPr>
        <w:t xml:space="preserve">2 </w:t>
      </w:r>
      <w:r>
        <w:rPr>
          <w:rFonts w:ascii="Times New Roman"/>
        </w:rPr>
        <w:t>规范性引用文件</w:t>
      </w:r>
      <w:r>
        <w:tab/>
      </w:r>
      <w:r>
        <w:fldChar w:fldCharType="begin"/>
      </w:r>
      <w:r>
        <w:instrText xml:space="preserve"> PAGEREF _Toc1035 \h </w:instrText>
      </w:r>
      <w:r>
        <w:fldChar w:fldCharType="separate"/>
      </w:r>
      <w:r>
        <w:t>4</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_Toc21536 </w:instrText>
      </w:r>
      <w:r>
        <w:rPr>
          <w:rFonts w:ascii="Times New Roman" w:hAnsi="Times New Roman"/>
        </w:rPr>
        <w:fldChar w:fldCharType="separate"/>
      </w:r>
      <w:r>
        <w:rPr>
          <w:rFonts w:hint="default" w:ascii="Times New Roman" w:hAnsi="Times New Roman" w:eastAsia="黑体" w:cs="Times New Roman"/>
          <w:i w:val="0"/>
        </w:rPr>
        <w:t xml:space="preserve">3 </w:t>
      </w:r>
      <w:r>
        <w:rPr>
          <w:rFonts w:ascii="Times New Roman"/>
          <w:szCs w:val="21"/>
        </w:rPr>
        <w:t>术语和定义</w:t>
      </w:r>
      <w:r>
        <w:tab/>
      </w:r>
      <w:r>
        <w:fldChar w:fldCharType="begin"/>
      </w:r>
      <w:r>
        <w:instrText xml:space="preserve"> PAGEREF _Toc21536 \h </w:instrText>
      </w:r>
      <w:r>
        <w:fldChar w:fldCharType="separate"/>
      </w:r>
      <w:r>
        <w:t>4</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_Toc9778 </w:instrText>
      </w:r>
      <w:r>
        <w:rPr>
          <w:rFonts w:ascii="Times New Roman" w:hAnsi="Times New Roman"/>
        </w:rPr>
        <w:fldChar w:fldCharType="separate"/>
      </w:r>
      <w:r>
        <w:rPr>
          <w:rFonts w:hint="default" w:ascii="Times New Roman" w:hAnsi="Times New Roman" w:eastAsia="黑体" w:cs="Times New Roman"/>
          <w:i w:val="0"/>
        </w:rPr>
        <w:t xml:space="preserve">4 </w:t>
      </w:r>
      <w:r>
        <w:rPr>
          <w:rFonts w:ascii="Times New Roman"/>
        </w:rPr>
        <w:t>核算边界</w:t>
      </w:r>
      <w:r>
        <w:rPr>
          <w:rFonts w:hint="eastAsia" w:ascii="Times New Roman"/>
          <w:lang w:val="en-US" w:eastAsia="zh-CN"/>
        </w:rPr>
        <w:t>和排放源确定</w:t>
      </w:r>
      <w:r>
        <w:tab/>
      </w:r>
      <w:r>
        <w:fldChar w:fldCharType="begin"/>
      </w:r>
      <w:r>
        <w:instrText xml:space="preserve"> PAGEREF _Toc9778 \h </w:instrText>
      </w:r>
      <w:r>
        <w:fldChar w:fldCharType="separate"/>
      </w:r>
      <w:r>
        <w:t>5</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_Toc503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Times New Roman"/>
          <w:lang w:val="en-US" w:eastAsia="zh-CN"/>
        </w:rPr>
        <w:t>核算边界</w:t>
      </w:r>
      <w:r>
        <w:tab/>
      </w:r>
      <w:r>
        <w:fldChar w:fldCharType="begin"/>
      </w:r>
      <w:r>
        <w:instrText xml:space="preserve"> PAGEREF _Toc503 \h </w:instrText>
      </w:r>
      <w:r>
        <w:fldChar w:fldCharType="separate"/>
      </w:r>
      <w:r>
        <w:t>5</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_Toc28135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Times New Roman"/>
          <w:lang w:val="en-US" w:eastAsia="zh-CN"/>
        </w:rPr>
        <w:t>排放源</w:t>
      </w:r>
      <w:r>
        <w:tab/>
      </w:r>
      <w:r>
        <w:fldChar w:fldCharType="begin"/>
      </w:r>
      <w:r>
        <w:instrText xml:space="preserve"> PAGEREF _Toc28135 \h </w:instrText>
      </w:r>
      <w:r>
        <w:fldChar w:fldCharType="separate"/>
      </w:r>
      <w:r>
        <w:t>6</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_Toc3280 </w:instrText>
      </w:r>
      <w:r>
        <w:rPr>
          <w:rFonts w:ascii="Times New Roman" w:hAnsi="Times New Roman"/>
        </w:rPr>
        <w:fldChar w:fldCharType="separate"/>
      </w:r>
      <w:r>
        <w:rPr>
          <w:rFonts w:hint="default" w:ascii="Times New Roman" w:hAnsi="Times New Roman" w:eastAsia="黑体" w:cs="Times New Roman"/>
          <w:i w:val="0"/>
        </w:rPr>
        <w:t xml:space="preserve">5 </w:t>
      </w:r>
      <w:r>
        <w:rPr>
          <w:rFonts w:ascii="Times New Roman"/>
        </w:rPr>
        <w:t>核算步骤</w:t>
      </w:r>
      <w:r>
        <w:tab/>
      </w:r>
      <w:r>
        <w:fldChar w:fldCharType="begin"/>
      </w:r>
      <w:r>
        <w:instrText xml:space="preserve"> PAGEREF _Toc3280 \h </w:instrText>
      </w:r>
      <w:r>
        <w:fldChar w:fldCharType="separate"/>
      </w:r>
      <w:r>
        <w:t>7</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_Toc9885 </w:instrText>
      </w:r>
      <w:r>
        <w:rPr>
          <w:rFonts w:ascii="Times New Roman" w:hAnsi="Times New Roman"/>
        </w:rPr>
        <w:fldChar w:fldCharType="separate"/>
      </w:r>
      <w:r>
        <w:rPr>
          <w:rFonts w:hint="default" w:ascii="Times New Roman" w:hAnsi="Times New Roman" w:eastAsia="黑体" w:cs="Times New Roman"/>
          <w:i w:val="0"/>
        </w:rPr>
        <w:t xml:space="preserve">6 </w:t>
      </w:r>
      <w:r>
        <w:rPr>
          <w:rFonts w:ascii="Times New Roman"/>
        </w:rPr>
        <w:t>核算</w:t>
      </w:r>
      <w:r>
        <w:rPr>
          <w:rFonts w:hint="eastAsia" w:ascii="Times New Roman"/>
          <w:lang w:val="en-US" w:eastAsia="zh-CN"/>
        </w:rPr>
        <w:t>要求及排放量计算</w:t>
      </w:r>
      <w:r>
        <w:tab/>
      </w:r>
      <w:r>
        <w:fldChar w:fldCharType="begin"/>
      </w:r>
      <w:r>
        <w:instrText xml:space="preserve"> PAGEREF _Toc9885 \h </w:instrText>
      </w:r>
      <w:r>
        <w:fldChar w:fldCharType="separate"/>
      </w:r>
      <w:r>
        <w:t>7</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_Toc22926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Times New Roman"/>
        </w:rPr>
        <w:t>化石燃料燃烧排放</w:t>
      </w:r>
      <w:r>
        <w:tab/>
      </w:r>
      <w:r>
        <w:fldChar w:fldCharType="begin"/>
      </w:r>
      <w:r>
        <w:instrText xml:space="preserve"> PAGEREF _Toc22926 \h </w:instrText>
      </w:r>
      <w:r>
        <w:fldChar w:fldCharType="separate"/>
      </w:r>
      <w:r>
        <w:t>7</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_Toc21476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Times New Roman"/>
        </w:rPr>
        <w:t>净购入使用电力产生的排放</w:t>
      </w:r>
      <w:r>
        <w:tab/>
      </w:r>
      <w:r>
        <w:fldChar w:fldCharType="begin"/>
      </w:r>
      <w:r>
        <w:instrText xml:space="preserve"> PAGEREF _Toc21476 \h </w:instrText>
      </w:r>
      <w:r>
        <w:fldChar w:fldCharType="separate"/>
      </w:r>
      <w:r>
        <w:t>8</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_Toc11986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Times New Roman"/>
        </w:rPr>
        <w:t>净购入使用热力产生的排放</w:t>
      </w:r>
      <w:r>
        <w:tab/>
      </w:r>
      <w:r>
        <w:fldChar w:fldCharType="begin"/>
      </w:r>
      <w:r>
        <w:instrText xml:space="preserve"> PAGEREF _Toc11986 \h </w:instrText>
      </w:r>
      <w:r>
        <w:fldChar w:fldCharType="separate"/>
      </w:r>
      <w:r>
        <w:t>9</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_Toc30180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ascii="Times New Roman"/>
        </w:rPr>
        <w:t>温室气体排放总量</w:t>
      </w:r>
      <w:r>
        <w:tab/>
      </w:r>
      <w:r>
        <w:fldChar w:fldCharType="begin"/>
      </w:r>
      <w:r>
        <w:instrText xml:space="preserve"> PAGEREF _Toc30180 \h </w:instrText>
      </w:r>
      <w:r>
        <w:fldChar w:fldCharType="separate"/>
      </w:r>
      <w:r>
        <w:t>10</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_Toc14351 </w:instrText>
      </w:r>
      <w:r>
        <w:rPr>
          <w:rFonts w:ascii="Times New Roman" w:hAnsi="Times New Roman"/>
        </w:rPr>
        <w:fldChar w:fldCharType="separate"/>
      </w:r>
      <w:r>
        <w:rPr>
          <w:rFonts w:hint="default" w:ascii="Times New Roman" w:hAnsi="Times New Roman" w:eastAsia="黑体" w:cs="Times New Roman"/>
          <w:i w:val="0"/>
        </w:rPr>
        <w:t xml:space="preserve">7 </w:t>
      </w:r>
      <w:r>
        <w:rPr>
          <w:rFonts w:ascii="Times New Roman"/>
        </w:rPr>
        <w:t>数据质量管理</w:t>
      </w:r>
      <w:r>
        <w:rPr>
          <w:rFonts w:hint="eastAsia" w:ascii="Times New Roman"/>
          <w:lang w:val="en-US" w:eastAsia="zh-CN"/>
        </w:rPr>
        <w:t>要求</w:t>
      </w:r>
      <w:r>
        <w:tab/>
      </w:r>
      <w:r>
        <w:fldChar w:fldCharType="begin"/>
      </w:r>
      <w:r>
        <w:instrText xml:space="preserve"> PAGEREF _Toc14351 \h </w:instrText>
      </w:r>
      <w:r>
        <w:fldChar w:fldCharType="separate"/>
      </w:r>
      <w:r>
        <w:t>10</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_Toc3744 </w:instrText>
      </w:r>
      <w:r>
        <w:rPr>
          <w:rFonts w:ascii="Times New Roman" w:hAnsi="Times New Roman"/>
        </w:rPr>
        <w:fldChar w:fldCharType="separate"/>
      </w:r>
      <w:r>
        <w:rPr>
          <w:rFonts w:hint="default" w:ascii="Times New Roman" w:hAnsi="Times New Roman" w:eastAsia="黑体" w:cs="Times New Roman"/>
          <w:i w:val="0"/>
        </w:rPr>
        <w:t xml:space="preserve">8 </w:t>
      </w:r>
      <w:r>
        <w:rPr>
          <w:rFonts w:ascii="Times New Roman"/>
        </w:rPr>
        <w:t>报告内容和格式</w:t>
      </w:r>
      <w:r>
        <w:tab/>
      </w:r>
      <w:r>
        <w:fldChar w:fldCharType="begin"/>
      </w:r>
      <w:r>
        <w:instrText xml:space="preserve"> PAGEREF _Toc3744 \h </w:instrText>
      </w:r>
      <w:r>
        <w:fldChar w:fldCharType="separate"/>
      </w:r>
      <w:r>
        <w:t>11</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_Toc18979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ascii="Times New Roman"/>
        </w:rPr>
        <w:t>通则</w:t>
      </w:r>
      <w:r>
        <w:tab/>
      </w:r>
      <w:r>
        <w:fldChar w:fldCharType="begin"/>
      </w:r>
      <w:r>
        <w:instrText xml:space="preserve"> PAGEREF _Toc18979 \h </w:instrText>
      </w:r>
      <w:r>
        <w:fldChar w:fldCharType="separate"/>
      </w:r>
      <w:r>
        <w:t>11</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_Toc22181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ascii="Times New Roman"/>
        </w:rPr>
        <w:t>报告主体基本信息</w:t>
      </w:r>
      <w:r>
        <w:tab/>
      </w:r>
      <w:r>
        <w:fldChar w:fldCharType="begin"/>
      </w:r>
      <w:r>
        <w:instrText xml:space="preserve"> PAGEREF _Toc22181 \h </w:instrText>
      </w:r>
      <w:r>
        <w:fldChar w:fldCharType="separate"/>
      </w:r>
      <w:r>
        <w:t>11</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_Toc15856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ascii="Times New Roman"/>
        </w:rPr>
        <w:t>温室气体</w:t>
      </w:r>
      <w:r>
        <w:rPr>
          <w:rFonts w:ascii="Times New Roman"/>
        </w:rPr>
        <w:t>排放量</w:t>
      </w:r>
      <w:r>
        <w:tab/>
      </w:r>
      <w:r>
        <w:fldChar w:fldCharType="begin"/>
      </w:r>
      <w:r>
        <w:instrText xml:space="preserve"> PAGEREF _Toc15856 \h </w:instrText>
      </w:r>
      <w:r>
        <w:fldChar w:fldCharType="separate"/>
      </w:r>
      <w:r>
        <w:t>11</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_Toc17351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ascii="Times New Roman"/>
        </w:rPr>
        <w:t>活动数据及来源</w:t>
      </w:r>
      <w:r>
        <w:tab/>
      </w:r>
      <w:r>
        <w:fldChar w:fldCharType="begin"/>
      </w:r>
      <w:r>
        <w:instrText xml:space="preserve"> PAGEREF _Toc17351 \h </w:instrText>
      </w:r>
      <w:r>
        <w:fldChar w:fldCharType="separate"/>
      </w:r>
      <w:r>
        <w:t>11</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_Toc6284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ascii="Times New Roman"/>
        </w:rPr>
        <w:t>排放因子</w:t>
      </w:r>
      <w:r>
        <w:rPr>
          <w:rFonts w:hint="eastAsia" w:ascii="Times New Roman"/>
        </w:rPr>
        <w:t>数据</w:t>
      </w:r>
      <w:r>
        <w:rPr>
          <w:rFonts w:ascii="Times New Roman"/>
        </w:rPr>
        <w:t>及来源</w:t>
      </w:r>
      <w:r>
        <w:tab/>
      </w:r>
      <w:r>
        <w:fldChar w:fldCharType="begin"/>
      </w:r>
      <w:r>
        <w:instrText xml:space="preserve"> PAGEREF _Toc6284 \h </w:instrText>
      </w:r>
      <w:r>
        <w:fldChar w:fldCharType="separate"/>
      </w:r>
      <w:r>
        <w:t>11</w:t>
      </w:r>
      <w:r>
        <w:fldChar w:fldCharType="end"/>
      </w:r>
      <w:r>
        <w:rPr>
          <w:rFonts w:ascii="Times New Roman" w:hAnsi="Times New Roman"/>
        </w:rPr>
        <w:fldChar w:fldCharType="end"/>
      </w:r>
    </w:p>
    <w:p>
      <w:pPr>
        <w:pStyle w:val="24"/>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_Toc23314 </w:instrText>
      </w:r>
      <w:r>
        <w:rPr>
          <w:rFonts w:ascii="Times New Roman" w:hAnsi="Times New Roman"/>
        </w:rPr>
        <w:fldChar w:fldCharType="separate"/>
      </w:r>
      <w:r>
        <w:rPr>
          <w:rFonts w:hint="default" w:ascii="Times New Roman"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8.6 </w:t>
      </w:r>
      <w:r>
        <w:rPr>
          <w:rFonts w:hint="eastAsia" w:ascii="Times New Roman"/>
        </w:rPr>
        <w:t>其他报告信息</w:t>
      </w:r>
      <w:r>
        <w:tab/>
      </w:r>
      <w:r>
        <w:fldChar w:fldCharType="begin"/>
      </w:r>
      <w:r>
        <w:instrText xml:space="preserve"> PAGEREF _Toc23314 \h </w:instrText>
      </w:r>
      <w:r>
        <w:fldChar w:fldCharType="separate"/>
      </w:r>
      <w:r>
        <w:t>12</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_Toc13810 </w:instrText>
      </w:r>
      <w:r>
        <w:rPr>
          <w:rFonts w:ascii="Times New Roman" w:hAnsi="Times New Roman"/>
        </w:rPr>
        <w:fldChar w:fldCharType="separate"/>
      </w:r>
      <w:r>
        <w:rPr>
          <w:rFonts w:hint="eastAsia" w:ascii="Times New Roman"/>
          <w:spacing w:val="100"/>
        </w:rPr>
        <w:t xml:space="preserve">附录A </w:t>
      </w:r>
      <w:r>
        <w:rPr>
          <w:rFonts w:ascii="Times New Roman"/>
        </w:rPr>
        <w:t xml:space="preserve"> （资料性） 报告格式模板</w:t>
      </w:r>
      <w:r>
        <w:tab/>
      </w:r>
      <w:r>
        <w:fldChar w:fldCharType="begin"/>
      </w:r>
      <w:r>
        <w:instrText xml:space="preserve"> PAGEREF _Toc13810 \h </w:instrText>
      </w:r>
      <w:r>
        <w:fldChar w:fldCharType="separate"/>
      </w:r>
      <w:r>
        <w:t>13</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_Toc20265 </w:instrText>
      </w:r>
      <w:r>
        <w:rPr>
          <w:rFonts w:ascii="Times New Roman" w:hAnsi="Times New Roman"/>
        </w:rPr>
        <w:fldChar w:fldCharType="separate"/>
      </w:r>
      <w:r>
        <w:rPr>
          <w:rFonts w:hint="eastAsia" w:ascii="Times New Roman"/>
          <w:spacing w:val="100"/>
        </w:rPr>
        <w:t xml:space="preserve">附录B </w:t>
      </w:r>
      <w:r>
        <w:rPr>
          <w:rFonts w:ascii="Times New Roman"/>
        </w:rPr>
        <w:t xml:space="preserve"> （资料性） 相关参数缺省值</w:t>
      </w:r>
      <w:r>
        <w:tab/>
      </w:r>
      <w:r>
        <w:fldChar w:fldCharType="begin"/>
      </w:r>
      <w:r>
        <w:instrText xml:space="preserve"> PAGEREF _Toc20265 \h </w:instrText>
      </w:r>
      <w:r>
        <w:fldChar w:fldCharType="separate"/>
      </w:r>
      <w:r>
        <w:t>17</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_Toc4716 </w:instrText>
      </w:r>
      <w:r>
        <w:rPr>
          <w:rFonts w:ascii="Times New Roman" w:hAnsi="Times New Roman"/>
        </w:rPr>
        <w:fldChar w:fldCharType="separate"/>
      </w:r>
      <w:r>
        <w:rPr>
          <w:rFonts w:hint="eastAsia" w:ascii="Times New Roman"/>
          <w:spacing w:val="100"/>
        </w:rPr>
        <w:t xml:space="preserve">附录C </w:t>
      </w:r>
      <w:r>
        <w:rPr>
          <w:rFonts w:ascii="Times New Roman"/>
        </w:rPr>
        <w:t xml:space="preserve"> （资料性） 数据质量控制计划模板</w:t>
      </w:r>
      <w:r>
        <w:tab/>
      </w:r>
      <w:r>
        <w:fldChar w:fldCharType="begin"/>
      </w:r>
      <w:r>
        <w:instrText xml:space="preserve"> PAGEREF _Toc4716 \h </w:instrText>
      </w:r>
      <w:r>
        <w:fldChar w:fldCharType="separate"/>
      </w:r>
      <w:r>
        <w:t>18</w:t>
      </w:r>
      <w:r>
        <w:fldChar w:fldCharType="end"/>
      </w:r>
      <w:r>
        <w:rPr>
          <w:rFonts w:ascii="Times New Roman" w:hAnsi="Times New Roman"/>
        </w:rP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spacing w:line="440" w:lineRule="exact"/>
        <w:textAlignment w:val="auto"/>
      </w:pPr>
      <w:r>
        <w:rPr>
          <w:rFonts w:ascii="Times New Roman" w:hAnsi="Times New Roman"/>
        </w:rPr>
        <w:fldChar w:fldCharType="begin"/>
      </w:r>
      <w:r>
        <w:rPr>
          <w:rFonts w:ascii="Times New Roman" w:hAnsi="Times New Roman"/>
        </w:rPr>
        <w:instrText xml:space="preserve"> HYPERLINK \l _Toc13984 </w:instrText>
      </w:r>
      <w:r>
        <w:rPr>
          <w:rFonts w:ascii="Times New Roman" w:hAnsi="Times New Roman"/>
        </w:rPr>
        <w:fldChar w:fldCharType="separate"/>
      </w:r>
      <w:r>
        <w:rPr>
          <w:rFonts w:hint="eastAsia"/>
          <w:spacing w:val="105"/>
        </w:rPr>
        <w:t>参考文</w:t>
      </w:r>
      <w:r>
        <w:rPr>
          <w:rFonts w:hint="eastAsia"/>
        </w:rPr>
        <w:t>献</w:t>
      </w:r>
      <w:r>
        <w:tab/>
      </w:r>
      <w:r>
        <w:fldChar w:fldCharType="begin"/>
      </w:r>
      <w:r>
        <w:instrText xml:space="preserve"> PAGEREF _Toc13984 \h </w:instrText>
      </w:r>
      <w:r>
        <w:fldChar w:fldCharType="separate"/>
      </w:r>
      <w:r>
        <w:t>23</w:t>
      </w:r>
      <w:r>
        <w:fldChar w:fldCharType="end"/>
      </w:r>
      <w:r>
        <w:rPr>
          <w:rFonts w:ascii="Times New Roman" w:hAnsi="Times New Roman"/>
        </w:rPr>
        <w:fldChar w:fldCharType="end"/>
      </w:r>
    </w:p>
    <w:p>
      <w:pPr>
        <w:pStyle w:val="91"/>
        <w:keepNext w:val="0"/>
        <w:keepLines w:val="0"/>
        <w:pageBreakBefore w:val="0"/>
        <w:widowControl w:val="0"/>
        <w:kinsoku/>
        <w:wordWrap/>
        <w:overflowPunct/>
        <w:topLinePunct w:val="0"/>
        <w:autoSpaceDE/>
        <w:autoSpaceDN/>
        <w:bidi w:val="0"/>
        <w:adjustRightInd w:val="0"/>
        <w:snapToGrid/>
        <w:spacing w:after="0" w:afterLines="0" w:line="440" w:lineRule="exact"/>
        <w:textAlignment w:val="auto"/>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19"/>
    <w:p>
      <w:pPr>
        <w:pStyle w:val="89"/>
        <w:spacing w:after="468"/>
      </w:pPr>
      <w:bookmarkStart w:id="25" w:name="_Toc25363"/>
      <w:bookmarkStart w:id="26" w:name="BookMark2"/>
      <w:r>
        <w:rPr>
          <w:spacing w:val="320"/>
        </w:rPr>
        <w:t>前</w:t>
      </w:r>
      <w:r>
        <w:t>言</w:t>
      </w:r>
      <w:bookmarkEnd w:id="20"/>
      <w:bookmarkEnd w:id="21"/>
      <w:bookmarkEnd w:id="22"/>
      <w:bookmarkEnd w:id="23"/>
      <w:bookmarkEnd w:id="24"/>
      <w:bookmarkEnd w:id="25"/>
    </w:p>
    <w:p>
      <w:pPr>
        <w:pStyle w:val="56"/>
        <w:ind w:firstLine="420"/>
        <w:rPr>
          <w:rFonts w:ascii="Times New Roman"/>
        </w:rPr>
      </w:pPr>
      <w:r>
        <w:rPr>
          <w:rFonts w:ascii="Times New Roman"/>
        </w:rPr>
        <w:t>本文件按照GB/T 1.1—2020《标准化工作导则  第1部分：标准化文件的结构和起草规则》的规定起草。</w:t>
      </w:r>
    </w:p>
    <w:p>
      <w:pPr>
        <w:pStyle w:val="56"/>
        <w:ind w:firstLine="420"/>
        <w:rPr>
          <w:rFonts w:ascii="Times New Roman"/>
        </w:rPr>
      </w:pPr>
      <w:r>
        <w:rPr>
          <w:rFonts w:ascii="Times New Roman"/>
        </w:rPr>
        <w:t>本文件是GB/T 32151《</w:t>
      </w:r>
      <w:r>
        <w:rPr>
          <w:rFonts w:hint="eastAsia" w:ascii="Times New Roman"/>
        </w:rPr>
        <w:t>温室气体</w:t>
      </w:r>
      <w:r>
        <w:rPr>
          <w:rFonts w:ascii="Times New Roman"/>
        </w:rPr>
        <w:t>排放核算与报告要求》的第X部分。</w:t>
      </w:r>
      <w:r>
        <w:rPr>
          <w:rFonts w:hint="eastAsia" w:ascii="Times New Roman"/>
        </w:rPr>
        <w:t>GB/T 32151已经发布了以下部分</w:t>
      </w:r>
      <w:r>
        <w:rPr>
          <w:rFonts w:ascii="Times New Roman"/>
        </w:rPr>
        <w:t>：</w:t>
      </w:r>
    </w:p>
    <w:p>
      <w:pPr>
        <w:pStyle w:val="56"/>
        <w:ind w:firstLine="420"/>
        <w:rPr>
          <w:rFonts w:ascii="Times New Roman"/>
        </w:rPr>
      </w:pPr>
      <w:r>
        <w:rPr>
          <w:rFonts w:ascii="Times New Roman"/>
        </w:rPr>
        <w:t>——第1部分：发电企业；</w:t>
      </w:r>
    </w:p>
    <w:p>
      <w:pPr>
        <w:pStyle w:val="56"/>
        <w:ind w:firstLine="420"/>
        <w:rPr>
          <w:rFonts w:ascii="Times New Roman"/>
        </w:rPr>
      </w:pPr>
      <w:r>
        <w:rPr>
          <w:rFonts w:ascii="Times New Roman"/>
        </w:rPr>
        <w:t>——第2部分：电网企业；</w:t>
      </w:r>
    </w:p>
    <w:p>
      <w:pPr>
        <w:pStyle w:val="56"/>
        <w:ind w:firstLine="420"/>
        <w:rPr>
          <w:rFonts w:ascii="Times New Roman"/>
        </w:rPr>
      </w:pPr>
      <w:r>
        <w:rPr>
          <w:rFonts w:ascii="Times New Roman"/>
        </w:rPr>
        <w:t>——第3部分：镁冶炼企业；</w:t>
      </w:r>
    </w:p>
    <w:p>
      <w:pPr>
        <w:pStyle w:val="56"/>
        <w:ind w:firstLine="420"/>
        <w:rPr>
          <w:rFonts w:ascii="Times New Roman"/>
        </w:rPr>
      </w:pPr>
      <w:r>
        <w:rPr>
          <w:rFonts w:ascii="Times New Roman"/>
        </w:rPr>
        <w:t>——第4部分：铝冶炼企业；</w:t>
      </w:r>
    </w:p>
    <w:p>
      <w:pPr>
        <w:pStyle w:val="56"/>
        <w:ind w:firstLine="420"/>
        <w:rPr>
          <w:rFonts w:ascii="Times New Roman"/>
        </w:rPr>
      </w:pPr>
      <w:r>
        <w:rPr>
          <w:rFonts w:ascii="Times New Roman"/>
        </w:rPr>
        <w:t>——第5部分：钢铁生产企业；</w:t>
      </w:r>
    </w:p>
    <w:p>
      <w:pPr>
        <w:pStyle w:val="56"/>
        <w:ind w:firstLine="420"/>
        <w:rPr>
          <w:rFonts w:ascii="Times New Roman"/>
        </w:rPr>
      </w:pPr>
      <w:r>
        <w:rPr>
          <w:rFonts w:ascii="Times New Roman"/>
        </w:rPr>
        <w:t>——第6部分：民用航空企业；</w:t>
      </w:r>
    </w:p>
    <w:p>
      <w:pPr>
        <w:pStyle w:val="56"/>
        <w:ind w:firstLine="420"/>
        <w:rPr>
          <w:rFonts w:ascii="Times New Roman"/>
        </w:rPr>
      </w:pPr>
      <w:r>
        <w:rPr>
          <w:rFonts w:ascii="Times New Roman"/>
        </w:rPr>
        <w:t>——第7部分：平板玻璃生产企业；</w:t>
      </w:r>
    </w:p>
    <w:p>
      <w:pPr>
        <w:pStyle w:val="56"/>
        <w:ind w:firstLine="420"/>
        <w:rPr>
          <w:rFonts w:ascii="Times New Roman"/>
        </w:rPr>
      </w:pPr>
      <w:r>
        <w:rPr>
          <w:rFonts w:ascii="Times New Roman"/>
        </w:rPr>
        <w:t>——第8部分：水泥生产企业；</w:t>
      </w:r>
    </w:p>
    <w:p>
      <w:pPr>
        <w:pStyle w:val="56"/>
        <w:ind w:firstLine="420"/>
        <w:rPr>
          <w:rFonts w:ascii="Times New Roman"/>
        </w:rPr>
      </w:pPr>
      <w:r>
        <w:rPr>
          <w:rFonts w:ascii="Times New Roman"/>
        </w:rPr>
        <w:t>——第9部分：陶瓷生产企业；</w:t>
      </w:r>
    </w:p>
    <w:p>
      <w:pPr>
        <w:pStyle w:val="56"/>
        <w:ind w:firstLine="420"/>
        <w:rPr>
          <w:rFonts w:ascii="Times New Roman"/>
        </w:rPr>
      </w:pPr>
      <w:r>
        <w:rPr>
          <w:rFonts w:ascii="Times New Roman"/>
        </w:rPr>
        <w:t>——第10部分：化工生产企业；</w:t>
      </w:r>
    </w:p>
    <w:p>
      <w:pPr>
        <w:pStyle w:val="56"/>
        <w:ind w:firstLine="420"/>
        <w:rPr>
          <w:rFonts w:ascii="Times New Roman"/>
        </w:rPr>
      </w:pPr>
      <w:r>
        <w:rPr>
          <w:rFonts w:ascii="Times New Roman"/>
        </w:rPr>
        <w:t>——第11部分：煤炭生产企业；</w:t>
      </w:r>
    </w:p>
    <w:p>
      <w:pPr>
        <w:pStyle w:val="56"/>
        <w:ind w:firstLine="420"/>
        <w:rPr>
          <w:rFonts w:ascii="Times New Roman"/>
        </w:rPr>
      </w:pPr>
      <w:r>
        <w:rPr>
          <w:rFonts w:ascii="Times New Roman"/>
        </w:rPr>
        <w:t>——第12部分：纺织服装企业；</w:t>
      </w:r>
    </w:p>
    <w:p>
      <w:pPr>
        <w:pStyle w:val="56"/>
        <w:ind w:firstLine="420"/>
        <w:rPr>
          <w:rFonts w:ascii="Times New Roman"/>
        </w:rPr>
      </w:pPr>
      <w:r>
        <w:rPr>
          <w:rFonts w:ascii="Times New Roman"/>
        </w:rPr>
        <w:t>——</w:t>
      </w:r>
      <w:r>
        <w:rPr>
          <w:rFonts w:hint="eastAsia" w:ascii="Times New Roman"/>
        </w:rPr>
        <w:t>第13部分：独立焦化企业</w:t>
      </w:r>
      <w:r>
        <w:rPr>
          <w:rFonts w:ascii="Times New Roman"/>
        </w:rPr>
        <w:t>；</w:t>
      </w:r>
    </w:p>
    <w:p>
      <w:pPr>
        <w:pStyle w:val="56"/>
        <w:ind w:firstLine="420"/>
        <w:rPr>
          <w:rFonts w:ascii="Times New Roman"/>
        </w:rPr>
      </w:pPr>
      <w:r>
        <w:rPr>
          <w:rFonts w:ascii="Times New Roman"/>
        </w:rPr>
        <w:t>——</w:t>
      </w:r>
      <w:r>
        <w:rPr>
          <w:rFonts w:hint="eastAsia" w:ascii="Times New Roman"/>
        </w:rPr>
        <w:t>第14部分：其他有色金属冶炼和压延加工企业</w:t>
      </w:r>
      <w:r>
        <w:rPr>
          <w:rFonts w:ascii="Times New Roman"/>
        </w:rPr>
        <w:t>；</w:t>
      </w:r>
    </w:p>
    <w:p>
      <w:pPr>
        <w:pStyle w:val="56"/>
        <w:ind w:firstLine="420"/>
        <w:rPr>
          <w:rFonts w:ascii="Times New Roman"/>
        </w:rPr>
      </w:pPr>
      <w:r>
        <w:rPr>
          <w:rFonts w:ascii="Times New Roman"/>
        </w:rPr>
        <w:t>——</w:t>
      </w:r>
      <w:r>
        <w:rPr>
          <w:rFonts w:hint="eastAsia" w:ascii="Times New Roman"/>
        </w:rPr>
        <w:t>第15部分：石油化工企业</w:t>
      </w:r>
    </w:p>
    <w:p>
      <w:pPr>
        <w:pStyle w:val="56"/>
        <w:ind w:firstLine="420"/>
        <w:rPr>
          <w:rFonts w:ascii="Times New Roman"/>
        </w:rPr>
      </w:pPr>
      <w:r>
        <w:rPr>
          <w:rFonts w:ascii="Times New Roman"/>
        </w:rPr>
        <w:t>——</w:t>
      </w:r>
      <w:r>
        <w:rPr>
          <w:rFonts w:hint="eastAsia" w:ascii="Times New Roman"/>
        </w:rPr>
        <w:t>第16部分：石油天然气生产企业</w:t>
      </w:r>
    </w:p>
    <w:p>
      <w:pPr>
        <w:pStyle w:val="56"/>
        <w:ind w:firstLine="420"/>
        <w:rPr>
          <w:rFonts w:ascii="Times New Roman"/>
        </w:rPr>
      </w:pPr>
      <w:r>
        <w:rPr>
          <w:rFonts w:ascii="Times New Roman"/>
        </w:rPr>
        <w:t>——</w:t>
      </w:r>
      <w:r>
        <w:rPr>
          <w:rFonts w:hint="eastAsia" w:ascii="Times New Roman"/>
        </w:rPr>
        <w:t>第17部分：氟化工企业</w:t>
      </w:r>
    </w:p>
    <w:p>
      <w:pPr>
        <w:pStyle w:val="56"/>
        <w:ind w:firstLine="420"/>
        <w:rPr>
          <w:rFonts w:hAnsi="宋体"/>
        </w:rPr>
      </w:pPr>
      <w:r>
        <w:rPr>
          <w:rFonts w:hAnsi="宋体"/>
        </w:rPr>
        <w:t>……</w:t>
      </w:r>
    </w:p>
    <w:p>
      <w:pPr>
        <w:pStyle w:val="56"/>
        <w:ind w:firstLine="420"/>
        <w:rPr>
          <w:rFonts w:ascii="Times New Roman"/>
        </w:rPr>
      </w:pPr>
      <w:r>
        <w:rPr>
          <w:rFonts w:ascii="Times New Roman"/>
        </w:rPr>
        <w:t>本文件由</w:t>
      </w:r>
      <w:r>
        <w:rPr>
          <w:rFonts w:hint="eastAsia" w:ascii="Times New Roman"/>
        </w:rPr>
        <w:t>中国建筑材料联合会</w:t>
      </w:r>
      <w:r>
        <w:rPr>
          <w:rFonts w:ascii="Times New Roman"/>
        </w:rPr>
        <w:t>提出。</w:t>
      </w:r>
    </w:p>
    <w:p>
      <w:pPr>
        <w:pStyle w:val="56"/>
        <w:ind w:firstLine="420"/>
        <w:rPr>
          <w:rFonts w:ascii="Times New Roman"/>
        </w:rPr>
      </w:pPr>
      <w:r>
        <w:rPr>
          <w:rFonts w:ascii="Times New Roman"/>
        </w:rPr>
        <w:t>本文件由</w:t>
      </w:r>
      <w:r>
        <w:rPr>
          <w:rFonts w:hint="eastAsia" w:ascii="Times New Roman"/>
        </w:rPr>
        <w:t>中国建筑材料联合会（609）和全国碳排放管理标准化技术委员会（SAC/TC 548）归口</w:t>
      </w:r>
      <w:r>
        <w:rPr>
          <w:rFonts w:ascii="Times New Roman"/>
        </w:rPr>
        <w:t>。</w:t>
      </w:r>
    </w:p>
    <w:p>
      <w:pPr>
        <w:pStyle w:val="56"/>
        <w:ind w:firstLine="420"/>
        <w:rPr>
          <w:rFonts w:ascii="Times New Roman"/>
        </w:rPr>
      </w:pPr>
      <w:r>
        <w:rPr>
          <w:rFonts w:ascii="Times New Roman"/>
        </w:rPr>
        <w:t>本文件起草单位：</w:t>
      </w:r>
    </w:p>
    <w:p>
      <w:pPr>
        <w:pStyle w:val="56"/>
        <w:ind w:firstLine="420"/>
        <w:rPr>
          <w:rFonts w:ascii="Times New Roman"/>
        </w:rPr>
      </w:pPr>
      <w:r>
        <w:rPr>
          <w:rFonts w:ascii="Times New Roman"/>
        </w:rPr>
        <w:t>本文件主要起草人：</w:t>
      </w:r>
    </w:p>
    <w:p>
      <w:pPr>
        <w:pStyle w:val="56"/>
        <w:ind w:firstLine="420"/>
        <w:rPr>
          <w:rFonts w:ascii="Times New Roman"/>
        </w:rPr>
      </w:pPr>
    </w:p>
    <w:p>
      <w:pPr>
        <w:widowControl/>
        <w:adjustRightInd/>
        <w:spacing w:line="240" w:lineRule="auto"/>
        <w:jc w:val="left"/>
        <w:rPr>
          <w:rFonts w:ascii="Times New Roman" w:hAnsi="Times New Roman"/>
          <w:kern w:val="0"/>
          <w:szCs w:val="20"/>
        </w:rPr>
      </w:pPr>
      <w:r>
        <w:rPr>
          <w:rFonts w:ascii="Times New Roman"/>
        </w:rPr>
        <w:br w:type="page"/>
      </w:r>
    </w:p>
    <w:p>
      <w:pPr>
        <w:pStyle w:val="89"/>
        <w:spacing w:after="468"/>
      </w:pPr>
      <w:bookmarkStart w:id="27" w:name="_Toc9254"/>
      <w:r>
        <w:rPr>
          <w:rFonts w:hint="eastAsia"/>
          <w:spacing w:val="320"/>
        </w:rPr>
        <w:t>引</w:t>
      </w:r>
      <w:r>
        <w:t>言</w:t>
      </w:r>
      <w:bookmarkEnd w:id="27"/>
    </w:p>
    <w:p>
      <w:pPr>
        <w:pStyle w:val="56"/>
        <w:ind w:firstLine="420"/>
        <w:rPr>
          <w:rFonts w:ascii="Times New Roman"/>
        </w:rPr>
      </w:pPr>
      <w:r>
        <w:rPr>
          <w:rFonts w:hint="eastAsia" w:ascii="Times New Roman"/>
        </w:rPr>
        <w:t>由人类活动导致的气候变化已经被公认为全世界面临的最大挑战之一，并将在未来数十年内继续影响人类及其相关活动。气候变化会对人类和自然系统产生影响，并且会给资源可用性、经济活动和人类福祉带来重大影响。相关国际组织、国家和区域正在制定并实施国际、区域、国家和地方温室气体排放管理方案，以降低地球大气中的温室气体（GHG）浓度，并帮助人类适应气候变化。</w:t>
      </w:r>
    </w:p>
    <w:p>
      <w:pPr>
        <w:pStyle w:val="56"/>
        <w:ind w:firstLine="420"/>
        <w:rPr>
          <w:rFonts w:ascii="Times New Roman"/>
        </w:rPr>
      </w:pPr>
      <w:r>
        <w:rPr>
          <w:rFonts w:hint="eastAsia" w:ascii="Times New Roman"/>
        </w:rPr>
        <w:t>相关温室气体排放管理方案需要基于最佳的科学知识，采取有效的、渐进的措施应对气候变化带来的各种威胁。标准有助于将这些科学知识转变为工具，从而应对气候变化。温室气体排放管理方案依赖于对温室气体排放的量化、监测和报告。</w:t>
      </w:r>
    </w:p>
    <w:p>
      <w:pPr>
        <w:pStyle w:val="56"/>
        <w:ind w:firstLine="420"/>
        <w:rPr>
          <w:rFonts w:ascii="Times New Roman"/>
        </w:rPr>
      </w:pPr>
      <w:r>
        <w:rPr>
          <w:rFonts w:hint="eastAsia" w:ascii="Times New Roman"/>
        </w:rPr>
        <w:t>GB/T 32151《温室气体排放核算与报告要求》从不同的企业层面规定了温室气体排放核算与报告的要求，目的是对于不同类型的企业，分别规定其温室气体排放边界、计量与检测要求、核算步骤与核算方法、数据质量管理、报告内容和格式等。GB/T 32151拟分为以下部分：</w:t>
      </w:r>
    </w:p>
    <w:p>
      <w:pPr>
        <w:pStyle w:val="56"/>
        <w:ind w:firstLine="420"/>
        <w:rPr>
          <w:rFonts w:ascii="Times New Roman"/>
        </w:rPr>
      </w:pPr>
      <w:r>
        <w:rPr>
          <w:rFonts w:ascii="Times New Roman"/>
        </w:rPr>
        <w:t>——第1部分：发电企业；</w:t>
      </w:r>
    </w:p>
    <w:p>
      <w:pPr>
        <w:pStyle w:val="56"/>
        <w:ind w:firstLine="420"/>
        <w:rPr>
          <w:rFonts w:ascii="Times New Roman"/>
        </w:rPr>
      </w:pPr>
      <w:r>
        <w:rPr>
          <w:rFonts w:ascii="Times New Roman"/>
        </w:rPr>
        <w:t>——第2部分：电网企业；</w:t>
      </w:r>
    </w:p>
    <w:p>
      <w:pPr>
        <w:pStyle w:val="56"/>
        <w:ind w:firstLine="420"/>
        <w:rPr>
          <w:rFonts w:ascii="Times New Roman"/>
        </w:rPr>
      </w:pPr>
      <w:r>
        <w:rPr>
          <w:rFonts w:ascii="Times New Roman"/>
        </w:rPr>
        <w:t>——第3部分：镁冶炼企业；</w:t>
      </w:r>
    </w:p>
    <w:p>
      <w:pPr>
        <w:pStyle w:val="56"/>
        <w:ind w:firstLine="420"/>
        <w:rPr>
          <w:rFonts w:ascii="Times New Roman"/>
        </w:rPr>
      </w:pPr>
      <w:r>
        <w:rPr>
          <w:rFonts w:ascii="Times New Roman"/>
        </w:rPr>
        <w:t>——第4部分：铝冶炼企业；</w:t>
      </w:r>
    </w:p>
    <w:p>
      <w:pPr>
        <w:pStyle w:val="56"/>
        <w:ind w:firstLine="420"/>
        <w:rPr>
          <w:rFonts w:ascii="Times New Roman"/>
        </w:rPr>
      </w:pPr>
      <w:r>
        <w:rPr>
          <w:rFonts w:ascii="Times New Roman"/>
        </w:rPr>
        <w:t>——第5部分：钢铁生产企业；</w:t>
      </w:r>
    </w:p>
    <w:p>
      <w:pPr>
        <w:pStyle w:val="56"/>
        <w:ind w:firstLine="420"/>
        <w:rPr>
          <w:rFonts w:ascii="Times New Roman"/>
        </w:rPr>
      </w:pPr>
      <w:r>
        <w:rPr>
          <w:rFonts w:ascii="Times New Roman"/>
        </w:rPr>
        <w:t>——第6部分：民用航空企业；</w:t>
      </w:r>
    </w:p>
    <w:p>
      <w:pPr>
        <w:pStyle w:val="56"/>
        <w:ind w:firstLine="420"/>
        <w:rPr>
          <w:rFonts w:ascii="Times New Roman"/>
        </w:rPr>
      </w:pPr>
      <w:r>
        <w:rPr>
          <w:rFonts w:ascii="Times New Roman"/>
        </w:rPr>
        <w:t>——第7部分：平板玻璃生产企业；</w:t>
      </w:r>
    </w:p>
    <w:p>
      <w:pPr>
        <w:pStyle w:val="56"/>
        <w:ind w:firstLine="420"/>
        <w:rPr>
          <w:rFonts w:ascii="Times New Roman"/>
        </w:rPr>
      </w:pPr>
      <w:r>
        <w:rPr>
          <w:rFonts w:ascii="Times New Roman"/>
        </w:rPr>
        <w:t>——第8部分：水泥生产企业；</w:t>
      </w:r>
    </w:p>
    <w:p>
      <w:pPr>
        <w:pStyle w:val="56"/>
        <w:ind w:firstLine="420"/>
        <w:rPr>
          <w:rFonts w:ascii="Times New Roman"/>
        </w:rPr>
      </w:pPr>
      <w:r>
        <w:rPr>
          <w:rFonts w:ascii="Times New Roman"/>
        </w:rPr>
        <w:t>——第9部分：陶瓷生产企业；</w:t>
      </w:r>
    </w:p>
    <w:p>
      <w:pPr>
        <w:pStyle w:val="56"/>
        <w:ind w:firstLine="420"/>
        <w:rPr>
          <w:rFonts w:ascii="Times New Roman"/>
        </w:rPr>
      </w:pPr>
      <w:r>
        <w:rPr>
          <w:rFonts w:ascii="Times New Roman"/>
        </w:rPr>
        <w:t>——第10部分：化工生产企业；</w:t>
      </w:r>
    </w:p>
    <w:p>
      <w:pPr>
        <w:pStyle w:val="56"/>
        <w:ind w:firstLine="420"/>
        <w:rPr>
          <w:rFonts w:ascii="Times New Roman"/>
        </w:rPr>
      </w:pPr>
      <w:r>
        <w:rPr>
          <w:rFonts w:ascii="Times New Roman"/>
        </w:rPr>
        <w:t>——第11部分：煤炭生产企业；</w:t>
      </w:r>
    </w:p>
    <w:p>
      <w:pPr>
        <w:pStyle w:val="56"/>
        <w:ind w:firstLine="420"/>
        <w:rPr>
          <w:rFonts w:ascii="Times New Roman"/>
        </w:rPr>
      </w:pPr>
      <w:r>
        <w:rPr>
          <w:rFonts w:ascii="Times New Roman"/>
        </w:rPr>
        <w:t>——第12部分：纺织服装企业；</w:t>
      </w:r>
    </w:p>
    <w:p>
      <w:pPr>
        <w:pStyle w:val="56"/>
        <w:ind w:firstLine="420"/>
        <w:rPr>
          <w:rFonts w:ascii="Times New Roman"/>
        </w:rPr>
      </w:pPr>
      <w:r>
        <w:rPr>
          <w:rFonts w:ascii="Times New Roman"/>
        </w:rPr>
        <w:t>——</w:t>
      </w:r>
      <w:r>
        <w:rPr>
          <w:rFonts w:hint="eastAsia" w:ascii="Times New Roman"/>
        </w:rPr>
        <w:t>第13部分：独立焦化企业</w:t>
      </w:r>
      <w:r>
        <w:rPr>
          <w:rFonts w:ascii="Times New Roman"/>
        </w:rPr>
        <w:t>；</w:t>
      </w:r>
    </w:p>
    <w:p>
      <w:pPr>
        <w:pStyle w:val="56"/>
        <w:ind w:firstLine="420"/>
        <w:rPr>
          <w:rFonts w:ascii="Times New Roman"/>
        </w:rPr>
      </w:pPr>
      <w:r>
        <w:rPr>
          <w:rFonts w:ascii="Times New Roman"/>
        </w:rPr>
        <w:t>——</w:t>
      </w:r>
      <w:r>
        <w:rPr>
          <w:rFonts w:hint="eastAsia" w:ascii="Times New Roman"/>
        </w:rPr>
        <w:t>第14部分：其他有色金属冶炼和压延加工企业</w:t>
      </w:r>
      <w:r>
        <w:rPr>
          <w:rFonts w:ascii="Times New Roman"/>
        </w:rPr>
        <w:t>；</w:t>
      </w:r>
    </w:p>
    <w:p>
      <w:pPr>
        <w:pStyle w:val="56"/>
        <w:ind w:firstLine="420"/>
        <w:rPr>
          <w:rFonts w:ascii="Times New Roman"/>
        </w:rPr>
      </w:pPr>
      <w:r>
        <w:rPr>
          <w:rFonts w:ascii="Times New Roman"/>
        </w:rPr>
        <w:t>——</w:t>
      </w:r>
      <w:r>
        <w:rPr>
          <w:rFonts w:hint="eastAsia" w:ascii="Times New Roman"/>
        </w:rPr>
        <w:t>第15部分：石油化工企业</w:t>
      </w:r>
    </w:p>
    <w:p>
      <w:pPr>
        <w:pStyle w:val="56"/>
        <w:ind w:firstLine="420"/>
        <w:rPr>
          <w:rFonts w:ascii="Times New Roman"/>
        </w:rPr>
      </w:pPr>
      <w:r>
        <w:rPr>
          <w:rFonts w:ascii="Times New Roman"/>
        </w:rPr>
        <w:t>——</w:t>
      </w:r>
      <w:r>
        <w:rPr>
          <w:rFonts w:hint="eastAsia" w:ascii="Times New Roman"/>
        </w:rPr>
        <w:t>第16部分：石油天然气生产企业</w:t>
      </w:r>
    </w:p>
    <w:p>
      <w:pPr>
        <w:pStyle w:val="56"/>
        <w:ind w:firstLine="420"/>
        <w:rPr>
          <w:rFonts w:ascii="Times New Roman"/>
        </w:rPr>
      </w:pPr>
      <w:r>
        <w:rPr>
          <w:rFonts w:ascii="Times New Roman"/>
        </w:rPr>
        <w:t>——</w:t>
      </w:r>
      <w:r>
        <w:rPr>
          <w:rFonts w:hint="eastAsia" w:ascii="Times New Roman"/>
        </w:rPr>
        <w:t>第17部分：氟化工企业</w:t>
      </w:r>
    </w:p>
    <w:p>
      <w:pPr>
        <w:pStyle w:val="56"/>
        <w:ind w:firstLine="420"/>
        <w:rPr>
          <w:rFonts w:ascii="Times New Roman"/>
        </w:rPr>
      </w:pP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6"/>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11C996EE143542FB85FED8536D65E15C"/>
        </w:placeholder>
      </w:sdtPr>
      <w:sdtEndPr>
        <w:rPr>
          <w:highlight w:val="none"/>
        </w:rPr>
      </w:sdtEndPr>
      <w:sdtContent>
        <w:p>
          <w:pPr>
            <w:pStyle w:val="177"/>
            <w:spacing w:before="312" w:beforeLines="100" w:after="3" w:afterLines="1"/>
            <w:rPr>
              <w:highlight w:val="none"/>
            </w:rPr>
          </w:pPr>
          <w:bookmarkStart w:id="29" w:name="NEW_STAND_NAME"/>
          <w:r>
            <w:rPr>
              <w:rFonts w:hint="eastAsia"/>
            </w:rPr>
            <w:t>温室气</w:t>
          </w:r>
          <w:r>
            <w:rPr>
              <w:rFonts w:hint="eastAsia"/>
              <w:highlight w:val="none"/>
            </w:rPr>
            <w:t>体排放核算与报告要求</w:t>
          </w:r>
          <w:r>
            <w:rPr>
              <w:highlight w:val="none"/>
            </w:rPr>
            <w:t xml:space="preserve"> </w:t>
          </w:r>
        </w:p>
        <w:p>
          <w:pPr>
            <w:pStyle w:val="177"/>
            <w:spacing w:before="3" w:beforeLines="1" w:after="680"/>
            <w:rPr>
              <w:highlight w:val="none"/>
            </w:rPr>
          </w:pPr>
          <w:r>
            <w:rPr>
              <w:rFonts w:hint="eastAsia"/>
              <w:highlight w:val="none"/>
            </w:rPr>
            <w:t>第</w:t>
          </w:r>
          <w:r>
            <w:rPr>
              <w:highlight w:val="none"/>
            </w:rPr>
            <w:t>X部分：</w:t>
          </w:r>
          <w:r>
            <w:rPr>
              <w:rFonts w:hint="eastAsia"/>
              <w:highlight w:val="none"/>
              <w:lang w:eastAsia="zh-CN"/>
            </w:rPr>
            <w:t>建筑防水材料生产企业</w:t>
          </w:r>
        </w:p>
      </w:sdtContent>
    </w:sdt>
    <w:bookmarkEnd w:id="29"/>
    <w:p>
      <w:pPr>
        <w:pStyle w:val="104"/>
        <w:spacing w:before="312" w:after="312"/>
        <w:rPr>
          <w:rFonts w:ascii="Times New Roman"/>
          <w:highlight w:val="none"/>
        </w:rPr>
      </w:pPr>
      <w:bookmarkStart w:id="30" w:name="_Toc26986530"/>
      <w:bookmarkStart w:id="31" w:name="_Toc128508349"/>
      <w:bookmarkStart w:id="32" w:name="_Toc128585838"/>
      <w:bookmarkStart w:id="33" w:name="_Toc889"/>
      <w:bookmarkStart w:id="34" w:name="_Toc128508433"/>
      <w:bookmarkStart w:id="35" w:name="_Toc26986771"/>
      <w:bookmarkStart w:id="36" w:name="_Toc128501236"/>
      <w:bookmarkStart w:id="37" w:name="_Toc24884211"/>
      <w:bookmarkStart w:id="38" w:name="_Toc128508281"/>
      <w:bookmarkStart w:id="39" w:name="_Toc17233333"/>
      <w:bookmarkStart w:id="40" w:name="_Toc128676548"/>
      <w:bookmarkStart w:id="41" w:name="_Toc128501292"/>
      <w:bookmarkStart w:id="42" w:name="_Toc26718930"/>
      <w:bookmarkStart w:id="43" w:name="_Toc17233325"/>
      <w:bookmarkStart w:id="44" w:name="_Toc26648465"/>
      <w:bookmarkStart w:id="45" w:name="_Toc24884218"/>
      <w:r>
        <w:rPr>
          <w:rFonts w:ascii="Times New Roman"/>
          <w:highlight w:val="none"/>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6"/>
        <w:ind w:firstLine="420"/>
        <w:rPr>
          <w:rFonts w:ascii="Times New Roman"/>
          <w:highlight w:val="none"/>
        </w:rPr>
      </w:pPr>
      <w:bookmarkStart w:id="46" w:name="_Toc24884219"/>
      <w:bookmarkStart w:id="47" w:name="_Toc17233326"/>
      <w:bookmarkStart w:id="48" w:name="_Toc24884212"/>
      <w:bookmarkStart w:id="49" w:name="_Toc26648466"/>
      <w:bookmarkStart w:id="50" w:name="_Toc17233334"/>
      <w:r>
        <w:rPr>
          <w:rFonts w:ascii="Times New Roman"/>
          <w:highlight w:val="none"/>
        </w:rPr>
        <w:t>本文件规定了</w:t>
      </w:r>
      <w:r>
        <w:rPr>
          <w:rFonts w:hint="eastAsia" w:ascii="Times New Roman"/>
          <w:highlight w:val="none"/>
          <w:lang w:eastAsia="zh-CN"/>
        </w:rPr>
        <w:t>建筑防水材料生产企业</w:t>
      </w:r>
      <w:r>
        <w:rPr>
          <w:rFonts w:hint="eastAsia" w:ascii="Times New Roman"/>
          <w:highlight w:val="none"/>
        </w:rPr>
        <w:t>温室气体</w:t>
      </w:r>
      <w:r>
        <w:rPr>
          <w:rFonts w:ascii="Times New Roman"/>
          <w:highlight w:val="none"/>
        </w:rPr>
        <w:t>排放量的核算边界</w:t>
      </w:r>
      <w:r>
        <w:rPr>
          <w:rFonts w:hint="eastAsia" w:ascii="Times New Roman"/>
          <w:highlight w:val="none"/>
          <w:lang w:val="en-US" w:eastAsia="zh-CN"/>
        </w:rPr>
        <w:t>和排放源确定</w:t>
      </w:r>
      <w:r>
        <w:rPr>
          <w:rFonts w:ascii="Times New Roman"/>
          <w:highlight w:val="none"/>
        </w:rPr>
        <w:t>、</w:t>
      </w:r>
      <w:r>
        <w:rPr>
          <w:rFonts w:hint="eastAsia" w:ascii="Times New Roman"/>
          <w:highlight w:val="none"/>
          <w:lang w:val="en-US" w:eastAsia="zh-CN"/>
        </w:rPr>
        <w:t>核算步骤、</w:t>
      </w:r>
      <w:r>
        <w:rPr>
          <w:rFonts w:ascii="Times New Roman"/>
          <w:highlight w:val="none"/>
        </w:rPr>
        <w:t>核算</w:t>
      </w:r>
      <w:r>
        <w:rPr>
          <w:rFonts w:hint="eastAsia" w:ascii="Times New Roman"/>
          <w:highlight w:val="none"/>
          <w:lang w:val="en-US" w:eastAsia="zh-CN"/>
        </w:rPr>
        <w:t>要求及排放量计算、</w:t>
      </w:r>
      <w:r>
        <w:rPr>
          <w:rFonts w:ascii="Times New Roman"/>
          <w:highlight w:val="none"/>
        </w:rPr>
        <w:t>数据质量管理</w:t>
      </w:r>
      <w:r>
        <w:rPr>
          <w:rFonts w:hint="eastAsia" w:ascii="Times New Roman"/>
          <w:highlight w:val="none"/>
          <w:lang w:val="en-US" w:eastAsia="zh-CN"/>
        </w:rPr>
        <w:t>要求</w:t>
      </w:r>
      <w:r>
        <w:rPr>
          <w:rFonts w:ascii="Times New Roman"/>
          <w:highlight w:val="none"/>
        </w:rPr>
        <w:t>、报告内容和格式等内容。</w:t>
      </w:r>
    </w:p>
    <w:p>
      <w:pPr>
        <w:pStyle w:val="56"/>
        <w:ind w:firstLine="420"/>
        <w:rPr>
          <w:rFonts w:ascii="Times New Roman"/>
          <w:highlight w:val="none"/>
        </w:rPr>
      </w:pPr>
      <w:r>
        <w:rPr>
          <w:rFonts w:ascii="Times New Roman"/>
          <w:highlight w:val="none"/>
        </w:rPr>
        <w:t>本文件适用于</w:t>
      </w:r>
      <w:r>
        <w:rPr>
          <w:rFonts w:hint="eastAsia" w:ascii="Times New Roman"/>
          <w:highlight w:val="none"/>
          <w:lang w:val="en-US" w:eastAsia="zh-CN"/>
        </w:rPr>
        <w:t>沥青类防水卷材、高分子类防水卷材、防水涂料</w:t>
      </w:r>
      <w:r>
        <w:rPr>
          <w:rFonts w:hint="eastAsia" w:ascii="Times New Roman"/>
          <w:highlight w:val="none"/>
          <w:lang w:eastAsia="zh-CN"/>
        </w:rPr>
        <w:t>生产企业温室气体</w:t>
      </w:r>
      <w:r>
        <w:rPr>
          <w:rFonts w:ascii="Times New Roman"/>
          <w:highlight w:val="none"/>
        </w:rPr>
        <w:t>排放量的核算和报告。</w:t>
      </w:r>
    </w:p>
    <w:p>
      <w:pPr>
        <w:pStyle w:val="104"/>
        <w:spacing w:before="312" w:after="312"/>
        <w:rPr>
          <w:rFonts w:ascii="Times New Roman"/>
          <w:highlight w:val="none"/>
        </w:rPr>
      </w:pPr>
      <w:bookmarkStart w:id="51" w:name="_Toc1035"/>
      <w:bookmarkStart w:id="52" w:name="_Toc26986772"/>
      <w:bookmarkStart w:id="53" w:name="_Toc26718931"/>
      <w:bookmarkStart w:id="54" w:name="_Toc26986531"/>
      <w:bookmarkStart w:id="55" w:name="_Toc128508282"/>
      <w:bookmarkStart w:id="56" w:name="_Toc128501237"/>
      <w:bookmarkStart w:id="57" w:name="_Toc128508350"/>
      <w:bookmarkStart w:id="58" w:name="_Toc128508434"/>
      <w:bookmarkStart w:id="59" w:name="_Toc128676549"/>
      <w:bookmarkStart w:id="60" w:name="_Toc128585839"/>
      <w:bookmarkStart w:id="61" w:name="_Toc128501293"/>
      <w:r>
        <w:rPr>
          <w:rFonts w:ascii="Times New Roman"/>
          <w:highlight w:val="none"/>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ascii="Times New Roman"/>
          <w:highlight w:val="none"/>
        </w:rPr>
        <w:id w:val="715848253"/>
        <w:placeholder>
          <w:docPart w:val="87CD6C70E0B448968D8A33F0028D7F2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highlight w:val="none"/>
        </w:rPr>
      </w:sdtEndPr>
      <w:sdtContent>
        <w:p>
          <w:pPr>
            <w:pStyle w:val="56"/>
            <w:ind w:firstLine="420"/>
            <w:rPr>
              <w:rFonts w:ascii="Times New Roman"/>
              <w:highlight w:val="none"/>
            </w:rPr>
          </w:pPr>
          <w:r>
            <w:rPr>
              <w:rFonts w:ascii="Times New Roman"/>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ascii="Times New Roman"/>
          <w:highlight w:val="none"/>
        </w:rPr>
      </w:pPr>
      <w:r>
        <w:rPr>
          <w:rFonts w:hint="eastAsia" w:ascii="Times New Roman"/>
          <w:highlight w:val="none"/>
        </w:rPr>
        <w:t>GB/T 213 煤的发热量测定方法</w:t>
      </w:r>
    </w:p>
    <w:p>
      <w:pPr>
        <w:pStyle w:val="56"/>
        <w:ind w:firstLine="420"/>
        <w:rPr>
          <w:rFonts w:ascii="Times New Roman"/>
          <w:highlight w:val="none"/>
        </w:rPr>
      </w:pPr>
      <w:r>
        <w:rPr>
          <w:rFonts w:ascii="Times New Roman"/>
          <w:highlight w:val="none"/>
        </w:rPr>
        <w:t>GB/T 384</w:t>
      </w:r>
      <w:r>
        <w:rPr>
          <w:rFonts w:hint="eastAsia" w:ascii="Times New Roman"/>
          <w:highlight w:val="none"/>
        </w:rPr>
        <w:t xml:space="preserve"> 石油产品热值测定法</w:t>
      </w:r>
    </w:p>
    <w:p>
      <w:pPr>
        <w:pStyle w:val="56"/>
        <w:ind w:firstLine="420"/>
        <w:rPr>
          <w:rFonts w:ascii="Times New Roman"/>
          <w:highlight w:val="none"/>
        </w:rPr>
      </w:pPr>
      <w:r>
        <w:rPr>
          <w:rFonts w:hint="eastAsia" w:ascii="Times New Roman"/>
          <w:highlight w:val="none"/>
        </w:rPr>
        <w:t>GB/T 11062 天然气 发热量、密度、相对密度和沃泊指数的计算方法</w:t>
      </w:r>
    </w:p>
    <w:p>
      <w:pPr>
        <w:pStyle w:val="56"/>
        <w:ind w:firstLine="420"/>
        <w:rPr>
          <w:rFonts w:ascii="Times New Roman"/>
          <w:highlight w:val="none"/>
        </w:rPr>
      </w:pPr>
      <w:r>
        <w:rPr>
          <w:rFonts w:hint="eastAsia" w:ascii="Times New Roman"/>
          <w:highlight w:val="none"/>
        </w:rPr>
        <w:t>GB 17167 用能单位能源计量器具配备和管理通则</w:t>
      </w:r>
    </w:p>
    <w:p>
      <w:pPr>
        <w:pStyle w:val="56"/>
        <w:ind w:firstLine="420"/>
        <w:rPr>
          <w:rFonts w:ascii="Times New Roman"/>
          <w:highlight w:val="none"/>
        </w:rPr>
      </w:pPr>
      <w:r>
        <w:rPr>
          <w:rFonts w:ascii="Times New Roman"/>
          <w:highlight w:val="none"/>
        </w:rPr>
        <w:t xml:space="preserve">GB/T 24851 </w:t>
      </w:r>
      <w:r>
        <w:rPr>
          <w:rFonts w:hint="eastAsia" w:ascii="Times New Roman"/>
          <w:highlight w:val="none"/>
        </w:rPr>
        <w:t>建筑材料行业能源计量器具配备和管理要求</w:t>
      </w:r>
    </w:p>
    <w:p>
      <w:pPr>
        <w:pStyle w:val="56"/>
        <w:ind w:firstLine="420"/>
        <w:rPr>
          <w:rFonts w:hint="eastAsia" w:ascii="Times New Roman"/>
          <w:highlight w:val="none"/>
        </w:rPr>
      </w:pPr>
      <w:r>
        <w:rPr>
          <w:rFonts w:hint="eastAsia" w:ascii="Times New Roman"/>
          <w:highlight w:val="none"/>
        </w:rPr>
        <w:t>GB/T 32150 工业企业温室气体排放核算和报告通则</w:t>
      </w:r>
    </w:p>
    <w:p>
      <w:pPr>
        <w:pStyle w:val="56"/>
        <w:ind w:firstLine="420"/>
        <w:rPr>
          <w:rFonts w:hint="eastAsia" w:ascii="Times New Roman" w:eastAsia="宋体"/>
          <w:highlight w:val="none"/>
          <w:lang w:val="en-US" w:eastAsia="zh-CN"/>
        </w:rPr>
      </w:pPr>
      <w:r>
        <w:rPr>
          <w:rFonts w:hint="default" w:ascii="Times New Roman" w:hAnsi="Times New Roman" w:cs="Times New Roman"/>
          <w:highlight w:val="none"/>
        </w:rPr>
        <w:t>GB/T 35461</w:t>
      </w:r>
      <w:r>
        <w:rPr>
          <w:rFonts w:hint="eastAsia" w:ascii="Times New Roman" w:cs="Times New Roman"/>
          <w:highlight w:val="none"/>
          <w:lang w:val="en-US" w:eastAsia="zh-CN"/>
        </w:rPr>
        <w:t xml:space="preserve"> </w:t>
      </w:r>
      <w:r>
        <w:rPr>
          <w:rFonts w:hint="eastAsia" w:ascii="Times New Roman"/>
          <w:highlight w:val="none"/>
        </w:rPr>
        <w:t>水泥生产企业能源计量器具配备和管理要求</w:t>
      </w:r>
    </w:p>
    <w:p>
      <w:pPr>
        <w:pStyle w:val="56"/>
        <w:ind w:firstLine="420"/>
        <w:rPr>
          <w:rFonts w:ascii="Times New Roman"/>
          <w:highlight w:val="none"/>
        </w:rPr>
      </w:pPr>
      <w:r>
        <w:rPr>
          <w:rFonts w:hint="eastAsia" w:ascii="Times New Roman"/>
          <w:highlight w:val="none"/>
        </w:rPr>
        <w:t>JJG 195 连续累计自动衡器（皮带秤）</w:t>
      </w:r>
    </w:p>
    <w:p>
      <w:pPr>
        <w:pStyle w:val="56"/>
        <w:ind w:firstLine="420"/>
        <w:rPr>
          <w:rFonts w:ascii="Times New Roman"/>
          <w:highlight w:val="none"/>
        </w:rPr>
      </w:pPr>
      <w:r>
        <w:rPr>
          <w:rFonts w:hint="eastAsia" w:ascii="Times New Roman"/>
          <w:highlight w:val="none"/>
        </w:rPr>
        <w:t>JJG 1118 电子汽车衡（衡器载荷测量仪法）</w:t>
      </w:r>
      <w:bookmarkStart w:id="179" w:name="_GoBack"/>
      <w:bookmarkEnd w:id="179"/>
    </w:p>
    <w:p>
      <w:pPr>
        <w:pStyle w:val="104"/>
        <w:spacing w:before="312" w:after="312"/>
        <w:rPr>
          <w:rFonts w:ascii="Times New Roman"/>
          <w:highlight w:val="none"/>
        </w:rPr>
      </w:pPr>
      <w:bookmarkStart w:id="62" w:name="_Toc128508351"/>
      <w:bookmarkStart w:id="63" w:name="_Toc21536"/>
      <w:bookmarkStart w:id="64" w:name="_Toc128501238"/>
      <w:bookmarkStart w:id="65" w:name="_Toc128676550"/>
      <w:bookmarkStart w:id="66" w:name="_Toc128508283"/>
      <w:bookmarkStart w:id="67" w:name="_Toc128508435"/>
      <w:bookmarkStart w:id="68" w:name="_Toc128501294"/>
      <w:bookmarkStart w:id="69" w:name="_Toc128585840"/>
      <w:r>
        <w:rPr>
          <w:rFonts w:ascii="Times New Roman"/>
          <w:szCs w:val="21"/>
          <w:highlight w:val="none"/>
        </w:rPr>
        <w:t>术语和定义</w:t>
      </w:r>
      <w:bookmarkEnd w:id="62"/>
      <w:bookmarkEnd w:id="63"/>
      <w:bookmarkEnd w:id="64"/>
      <w:bookmarkEnd w:id="65"/>
      <w:bookmarkEnd w:id="66"/>
      <w:bookmarkEnd w:id="67"/>
      <w:bookmarkEnd w:id="68"/>
      <w:bookmarkEnd w:id="69"/>
    </w:p>
    <w:sdt>
      <w:sdtPr>
        <w:rPr>
          <w:rFonts w:ascii="Times New Roman"/>
          <w:highlight w:val="none"/>
        </w:rPr>
        <w:id w:val="-1909835108"/>
        <w:placeholder>
          <w:docPart w:val="87CD6C70E0B448968D8A33F0028D7F2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highlight w:val="none"/>
        </w:rPr>
      </w:sdtEndPr>
      <w:sdtContent>
        <w:p>
          <w:pPr>
            <w:pStyle w:val="56"/>
            <w:ind w:firstLine="420"/>
            <w:rPr>
              <w:rFonts w:ascii="Times New Roman"/>
              <w:highlight w:val="none"/>
            </w:rPr>
          </w:pPr>
          <w:bookmarkStart w:id="70" w:name="_Toc26986532"/>
          <w:bookmarkEnd w:id="70"/>
          <w:r>
            <w:rPr>
              <w:rFonts w:ascii="Times New Roman"/>
              <w:highlight w:val="none"/>
            </w:rPr>
            <w:t>GB/T 32150界定的以及下列术语和定义适用于本文件。</w:t>
          </w:r>
        </w:p>
      </w:sdtContent>
    </w:sdt>
    <w:p>
      <w:pPr>
        <w:pStyle w:val="223"/>
        <w:ind w:left="420" w:hanging="420" w:hangingChars="200"/>
        <w:outlineLvl w:val="1"/>
        <w:rPr>
          <w:rFonts w:ascii="Times New Roman"/>
          <w:highlight w:val="none"/>
        </w:rPr>
      </w:pPr>
      <w:r>
        <w:rPr>
          <w:rFonts w:ascii="Times New Roman" w:eastAsia="黑体"/>
          <w:highlight w:val="none"/>
        </w:rPr>
        <w:br w:type="textWrapping"/>
      </w:r>
      <w:r>
        <w:rPr>
          <w:rFonts w:ascii="Times New Roman" w:eastAsia="黑体"/>
          <w:highlight w:val="none"/>
        </w:rPr>
        <w:t>温室气体</w:t>
      </w:r>
      <w:r>
        <w:rPr>
          <w:rFonts w:hint="eastAsia" w:ascii="Times New Roman" w:eastAsia="黑体"/>
          <w:highlight w:val="none"/>
        </w:rPr>
        <w:t xml:space="preserve"> </w:t>
      </w:r>
      <w:r>
        <w:rPr>
          <w:rFonts w:ascii="Times New Roman"/>
          <w:highlight w:val="none"/>
        </w:rPr>
        <w:t>greenhouse gas</w:t>
      </w:r>
    </w:p>
    <w:p>
      <w:pPr>
        <w:pStyle w:val="56"/>
        <w:ind w:firstLine="420"/>
        <w:rPr>
          <w:rFonts w:ascii="Times New Roman"/>
          <w:highlight w:val="none"/>
        </w:rPr>
      </w:pPr>
      <w:r>
        <w:rPr>
          <w:rFonts w:ascii="Times New Roman"/>
          <w:highlight w:val="none"/>
        </w:rPr>
        <w:t>大气层中自然存在的和由于人类活动产生的能够吸收和散发由地球表面、大气层和云层所产生的、波长在红外光谱内的辐射的气态成</w:t>
      </w:r>
      <w:r>
        <w:rPr>
          <w:rFonts w:hint="eastAsia" w:ascii="Times New Roman"/>
          <w:highlight w:val="none"/>
        </w:rPr>
        <w:t>分</w:t>
      </w:r>
      <w:r>
        <w:rPr>
          <w:rFonts w:ascii="Times New Roman"/>
          <w:highlight w:val="none"/>
        </w:rPr>
        <w:t>。</w:t>
      </w:r>
    </w:p>
    <w:p>
      <w:pPr>
        <w:pStyle w:val="179"/>
        <w:rPr>
          <w:rFonts w:ascii="Times New Roman"/>
          <w:highlight w:val="none"/>
        </w:rPr>
      </w:pPr>
      <w:r>
        <w:rPr>
          <w:rFonts w:ascii="Times New Roman"/>
          <w:highlight w:val="none"/>
        </w:rPr>
        <w:t>本文件涉及的温室气体只包含</w:t>
      </w:r>
      <w:r>
        <w:rPr>
          <w:rFonts w:hint="eastAsia" w:ascii="Times New Roman"/>
          <w:highlight w:val="none"/>
        </w:rPr>
        <w:t>二氧化碳</w:t>
      </w:r>
      <w:r>
        <w:rPr>
          <w:rFonts w:ascii="Times New Roman"/>
          <w:highlight w:val="none"/>
        </w:rPr>
        <w:t>（CO</w:t>
      </w:r>
      <w:r>
        <w:rPr>
          <w:rFonts w:ascii="Times New Roman"/>
          <w:highlight w:val="none"/>
          <w:vertAlign w:val="subscript"/>
        </w:rPr>
        <w:t>2</w:t>
      </w:r>
      <w:r>
        <w:rPr>
          <w:rFonts w:ascii="Times New Roman"/>
          <w:highlight w:val="none"/>
        </w:rPr>
        <w:t>）。</w:t>
      </w:r>
    </w:p>
    <w:p>
      <w:pPr>
        <w:pStyle w:val="56"/>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3.1]</w:t>
      </w:r>
    </w:p>
    <w:p>
      <w:pPr>
        <w:pStyle w:val="223"/>
        <w:ind w:left="420" w:hanging="420" w:hangingChars="200"/>
        <w:outlineLvl w:val="1"/>
        <w:rPr>
          <w:rFonts w:ascii="Times New Roman" w:eastAsia="黑体"/>
          <w:highlight w:val="none"/>
        </w:rPr>
      </w:pPr>
      <w:r>
        <w:rPr>
          <w:rFonts w:ascii="Times New Roman" w:eastAsia="黑体"/>
          <w:highlight w:val="none"/>
        </w:rPr>
        <w:br w:type="textWrapping"/>
      </w:r>
      <w:r>
        <w:rPr>
          <w:rFonts w:hint="eastAsia" w:ascii="Times New Roman" w:eastAsia="黑体"/>
          <w:highlight w:val="none"/>
        </w:rPr>
        <w:t>温室气体排放</w:t>
      </w:r>
      <w:r>
        <w:rPr>
          <w:rFonts w:ascii="Times New Roman" w:eastAsia="黑体"/>
          <w:highlight w:val="none"/>
        </w:rPr>
        <w:t xml:space="preserve"> greenhouse gas emissions</w:t>
      </w:r>
    </w:p>
    <w:p>
      <w:pPr>
        <w:pStyle w:val="56"/>
        <w:ind w:firstLine="420"/>
        <w:rPr>
          <w:rFonts w:ascii="Times New Roman"/>
          <w:highlight w:val="none"/>
        </w:rPr>
      </w:pPr>
      <w:r>
        <w:rPr>
          <w:rFonts w:hint="eastAsia" w:ascii="Times New Roman"/>
          <w:highlight w:val="none"/>
        </w:rPr>
        <w:t>在特定时段内向大气中释放温室气体的过程</w:t>
      </w:r>
      <w:r>
        <w:rPr>
          <w:rFonts w:ascii="Times New Roman"/>
          <w:highlight w:val="none"/>
        </w:rPr>
        <w:t>。</w:t>
      </w:r>
    </w:p>
    <w:p>
      <w:pPr>
        <w:pStyle w:val="56"/>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3.6</w:t>
      </w:r>
      <w:r>
        <w:rPr>
          <w:rFonts w:hint="eastAsia" w:ascii="Times New Roman"/>
          <w:highlight w:val="none"/>
        </w:rPr>
        <w:t>，有修改</w:t>
      </w:r>
      <w:r>
        <w:rPr>
          <w:rFonts w:ascii="Times New Roman"/>
          <w:highlight w:val="none"/>
        </w:rPr>
        <w:t>]</w:t>
      </w:r>
    </w:p>
    <w:p>
      <w:pPr>
        <w:pStyle w:val="223"/>
        <w:ind w:left="420" w:hanging="420" w:hangingChars="200"/>
        <w:outlineLvl w:val="1"/>
        <w:rPr>
          <w:rFonts w:ascii="Times New Roman"/>
          <w:highlight w:val="none"/>
        </w:rPr>
      </w:pPr>
      <w:r>
        <w:rPr>
          <w:rFonts w:ascii="Times New Roman" w:eastAsia="黑体"/>
          <w:highlight w:val="none"/>
        </w:rPr>
        <w:br w:type="textWrapping"/>
      </w:r>
      <w:r>
        <w:rPr>
          <w:rFonts w:ascii="Times New Roman" w:eastAsia="黑体"/>
          <w:highlight w:val="none"/>
        </w:rPr>
        <w:t>报告主体</w:t>
      </w:r>
      <w:r>
        <w:rPr>
          <w:rFonts w:hint="eastAsia" w:ascii="Times New Roman" w:eastAsia="黑体"/>
          <w:highlight w:val="none"/>
        </w:rPr>
        <w:t xml:space="preserve"> </w:t>
      </w:r>
      <w:r>
        <w:rPr>
          <w:rFonts w:ascii="Times New Roman"/>
          <w:highlight w:val="none"/>
        </w:rPr>
        <w:t>reporting entity</w:t>
      </w:r>
    </w:p>
    <w:p>
      <w:pPr>
        <w:pStyle w:val="56"/>
        <w:ind w:firstLine="420"/>
        <w:rPr>
          <w:rFonts w:ascii="Times New Roman"/>
          <w:highlight w:val="none"/>
        </w:rPr>
      </w:pPr>
      <w:r>
        <w:rPr>
          <w:rFonts w:ascii="Times New Roman"/>
          <w:highlight w:val="none"/>
        </w:rPr>
        <w:t>具有</w:t>
      </w:r>
      <w:r>
        <w:rPr>
          <w:rFonts w:hint="eastAsia" w:ascii="Times New Roman"/>
          <w:highlight w:val="none"/>
        </w:rPr>
        <w:t>温室气体</w:t>
      </w:r>
      <w:r>
        <w:rPr>
          <w:rFonts w:ascii="Times New Roman"/>
          <w:highlight w:val="none"/>
        </w:rPr>
        <w:t>排放行为的法人企业或视同法人的独立核算单位。</w:t>
      </w:r>
    </w:p>
    <w:p>
      <w:pPr>
        <w:pStyle w:val="56"/>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3.2]</w:t>
      </w:r>
    </w:p>
    <w:p>
      <w:pPr>
        <w:pStyle w:val="223"/>
        <w:ind w:left="420" w:hanging="420" w:hangingChars="200"/>
        <w:outlineLvl w:val="1"/>
        <w:rPr>
          <w:rFonts w:ascii="Times New Roman"/>
          <w:highlight w:val="none"/>
        </w:rPr>
      </w:pPr>
      <w:r>
        <w:rPr>
          <w:rFonts w:ascii="Times New Roman" w:eastAsia="黑体"/>
          <w:highlight w:val="none"/>
        </w:rPr>
        <w:br w:type="textWrapping"/>
      </w:r>
      <w:r>
        <w:rPr>
          <w:rFonts w:hint="eastAsia" w:ascii="Times New Roman" w:eastAsia="黑体"/>
          <w:highlight w:val="none"/>
        </w:rPr>
        <w:t>化石</w:t>
      </w:r>
      <w:r>
        <w:rPr>
          <w:rFonts w:ascii="Times New Roman" w:eastAsia="黑体"/>
          <w:highlight w:val="none"/>
        </w:rPr>
        <w:t xml:space="preserve">燃料燃烧排放 </w:t>
      </w:r>
      <w:r>
        <w:rPr>
          <w:rFonts w:ascii="Times New Roman"/>
          <w:highlight w:val="none"/>
        </w:rPr>
        <w:t>fossil fuel combustion emission</w:t>
      </w:r>
    </w:p>
    <w:p>
      <w:pPr>
        <w:pStyle w:val="56"/>
        <w:ind w:firstLine="420"/>
        <w:rPr>
          <w:rFonts w:ascii="Times New Roman"/>
          <w:highlight w:val="none"/>
        </w:rPr>
      </w:pPr>
      <w:r>
        <w:rPr>
          <w:rFonts w:hint="eastAsia" w:ascii="Times New Roman"/>
          <w:highlight w:val="none"/>
        </w:rPr>
        <w:t>化石</w:t>
      </w:r>
      <w:r>
        <w:rPr>
          <w:rFonts w:ascii="Times New Roman"/>
          <w:highlight w:val="none"/>
        </w:rPr>
        <w:t>燃料在氧化燃烧过程中产生的二氧化碳排放。</w:t>
      </w:r>
    </w:p>
    <w:p>
      <w:pPr>
        <w:pStyle w:val="56"/>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3.7</w:t>
      </w:r>
      <w:r>
        <w:rPr>
          <w:rFonts w:hint="eastAsia" w:ascii="Times New Roman"/>
          <w:highlight w:val="none"/>
        </w:rPr>
        <w:t>，有修改</w:t>
      </w:r>
      <w:r>
        <w:rPr>
          <w:rFonts w:ascii="Times New Roman"/>
          <w:highlight w:val="none"/>
        </w:rPr>
        <w:t>]</w:t>
      </w:r>
    </w:p>
    <w:p>
      <w:pPr>
        <w:pStyle w:val="223"/>
        <w:ind w:left="420" w:hanging="420" w:hangingChars="200"/>
        <w:outlineLvl w:val="1"/>
        <w:rPr>
          <w:rFonts w:ascii="Times New Roman" w:eastAsia="黑体"/>
          <w:highlight w:val="none"/>
        </w:rPr>
      </w:pPr>
      <w:r>
        <w:rPr>
          <w:rFonts w:ascii="Times New Roman" w:eastAsia="黑体"/>
          <w:highlight w:val="none"/>
        </w:rPr>
        <w:br w:type="textWrapping"/>
      </w:r>
      <w:r>
        <w:rPr>
          <w:rFonts w:hint="eastAsia" w:ascii="Times New Roman" w:eastAsia="黑体"/>
          <w:highlight w:val="none"/>
        </w:rPr>
        <w:t xml:space="preserve">净购入使用电力和热力产生的排放 emission from net purchased </w:t>
      </w:r>
      <w:r>
        <w:rPr>
          <w:rFonts w:ascii="Times New Roman" w:eastAsia="黑体"/>
          <w:highlight w:val="none"/>
        </w:rPr>
        <w:t>electricity and heat</w:t>
      </w:r>
    </w:p>
    <w:p>
      <w:pPr>
        <w:pStyle w:val="56"/>
        <w:ind w:firstLine="420"/>
        <w:rPr>
          <w:rFonts w:ascii="Times New Roman"/>
          <w:highlight w:val="none"/>
        </w:rPr>
      </w:pPr>
      <w:r>
        <w:rPr>
          <w:rFonts w:ascii="Times New Roman"/>
          <w:highlight w:val="none"/>
        </w:rPr>
        <w:t>企业消费的</w:t>
      </w:r>
      <w:r>
        <w:rPr>
          <w:rFonts w:hint="eastAsia" w:ascii="Times New Roman"/>
          <w:highlight w:val="none"/>
        </w:rPr>
        <w:t>净</w:t>
      </w:r>
      <w:r>
        <w:rPr>
          <w:rFonts w:ascii="Times New Roman"/>
          <w:highlight w:val="none"/>
        </w:rPr>
        <w:t>购入</w:t>
      </w:r>
      <w:r>
        <w:rPr>
          <w:rFonts w:hint="eastAsia" w:ascii="Times New Roman"/>
          <w:highlight w:val="none"/>
        </w:rPr>
        <w:t>使用电力和热力</w:t>
      </w:r>
      <w:r>
        <w:rPr>
          <w:rFonts w:ascii="Times New Roman"/>
          <w:highlight w:val="none"/>
        </w:rPr>
        <w:t>所对应的</w:t>
      </w:r>
      <w:r>
        <w:rPr>
          <w:rFonts w:hint="eastAsia" w:ascii="Times New Roman"/>
          <w:highlight w:val="none"/>
        </w:rPr>
        <w:t>电力和热力</w:t>
      </w:r>
      <w:r>
        <w:rPr>
          <w:rFonts w:ascii="Times New Roman"/>
          <w:highlight w:val="none"/>
        </w:rPr>
        <w:t>生产环节产生的二氧化碳排放。</w:t>
      </w:r>
    </w:p>
    <w:p>
      <w:pPr>
        <w:pStyle w:val="179"/>
        <w:rPr>
          <w:rFonts w:ascii="Times New Roman"/>
          <w:highlight w:val="none"/>
        </w:rPr>
      </w:pPr>
      <w:r>
        <w:rPr>
          <w:rFonts w:ascii="Times New Roman"/>
          <w:highlight w:val="none"/>
        </w:rPr>
        <w:t>热力包括蒸汽、热水</w:t>
      </w:r>
      <w:r>
        <w:rPr>
          <w:rFonts w:hint="eastAsia" w:ascii="Times New Roman"/>
          <w:highlight w:val="none"/>
        </w:rPr>
        <w:t>等</w:t>
      </w:r>
      <w:r>
        <w:rPr>
          <w:rFonts w:ascii="Times New Roman"/>
          <w:highlight w:val="none"/>
        </w:rPr>
        <w:t>。</w:t>
      </w:r>
    </w:p>
    <w:p>
      <w:pPr>
        <w:pStyle w:val="56"/>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3.9</w:t>
      </w:r>
      <w:r>
        <w:rPr>
          <w:rFonts w:hint="eastAsia" w:ascii="Times New Roman"/>
          <w:highlight w:val="none"/>
        </w:rPr>
        <w:t>，修改</w:t>
      </w:r>
      <w:r>
        <w:rPr>
          <w:rFonts w:ascii="Times New Roman"/>
          <w:highlight w:val="none"/>
        </w:rPr>
        <w:t>]</w:t>
      </w:r>
    </w:p>
    <w:p>
      <w:pPr>
        <w:pStyle w:val="223"/>
        <w:ind w:left="420" w:hanging="420" w:hangingChars="200"/>
        <w:outlineLvl w:val="1"/>
        <w:rPr>
          <w:rFonts w:ascii="Times New Roman" w:eastAsia="黑体"/>
          <w:highlight w:val="none"/>
        </w:rPr>
      </w:pPr>
      <w:r>
        <w:rPr>
          <w:rFonts w:ascii="Times New Roman" w:eastAsia="黑体"/>
          <w:highlight w:val="none"/>
        </w:rPr>
        <w:br w:type="textWrapping"/>
      </w:r>
      <w:r>
        <w:rPr>
          <w:rFonts w:ascii="Times New Roman" w:eastAsia="黑体"/>
          <w:highlight w:val="none"/>
        </w:rPr>
        <w:t>活动数据 activity data</w:t>
      </w:r>
    </w:p>
    <w:p>
      <w:pPr>
        <w:pStyle w:val="56"/>
        <w:ind w:firstLine="420"/>
        <w:rPr>
          <w:rFonts w:ascii="Times New Roman"/>
          <w:highlight w:val="none"/>
        </w:rPr>
      </w:pPr>
      <w:r>
        <w:rPr>
          <w:rFonts w:ascii="Times New Roman"/>
          <w:highlight w:val="none"/>
        </w:rPr>
        <w:t>导致</w:t>
      </w:r>
      <w:r>
        <w:rPr>
          <w:rFonts w:hint="eastAsia" w:ascii="Times New Roman"/>
          <w:highlight w:val="none"/>
        </w:rPr>
        <w:t>温室气体</w:t>
      </w:r>
      <w:r>
        <w:rPr>
          <w:rFonts w:ascii="Times New Roman"/>
          <w:highlight w:val="none"/>
        </w:rPr>
        <w:t>排放的生产或消费活动量的表征值。</w:t>
      </w:r>
    </w:p>
    <w:p>
      <w:pPr>
        <w:pStyle w:val="179"/>
        <w:rPr>
          <w:rFonts w:ascii="Times New Roman"/>
          <w:highlight w:val="none"/>
        </w:rPr>
      </w:pPr>
      <w:r>
        <w:rPr>
          <w:rFonts w:ascii="Times New Roman"/>
          <w:highlight w:val="none"/>
        </w:rPr>
        <w:t>如各种</w:t>
      </w:r>
      <w:r>
        <w:rPr>
          <w:rFonts w:hint="eastAsia" w:ascii="Times New Roman"/>
          <w:highlight w:val="none"/>
        </w:rPr>
        <w:t>化石</w:t>
      </w:r>
      <w:r>
        <w:rPr>
          <w:rFonts w:ascii="Times New Roman"/>
          <w:highlight w:val="none"/>
        </w:rPr>
        <w:t>燃料的消耗量</w:t>
      </w:r>
      <w:r>
        <w:rPr>
          <w:rFonts w:hint="eastAsia" w:ascii="Times New Roman"/>
          <w:highlight w:val="none"/>
        </w:rPr>
        <w:t>和低位发热量</w:t>
      </w:r>
      <w:r>
        <w:rPr>
          <w:rFonts w:ascii="Times New Roman"/>
          <w:highlight w:val="none"/>
        </w:rPr>
        <w:t>、购入的电量</w:t>
      </w:r>
      <w:r>
        <w:rPr>
          <w:rFonts w:hint="eastAsia" w:ascii="Times New Roman"/>
          <w:highlight w:val="none"/>
        </w:rPr>
        <w:t>和</w:t>
      </w:r>
      <w:r>
        <w:rPr>
          <w:rFonts w:ascii="Times New Roman"/>
          <w:highlight w:val="none"/>
        </w:rPr>
        <w:t>热量</w:t>
      </w:r>
      <w:r>
        <w:rPr>
          <w:rFonts w:hint="eastAsia" w:ascii="Times New Roman"/>
          <w:highlight w:val="none"/>
        </w:rPr>
        <w:t>、输出</w:t>
      </w:r>
      <w:r>
        <w:rPr>
          <w:rFonts w:ascii="Times New Roman"/>
          <w:highlight w:val="none"/>
        </w:rPr>
        <w:t>的电量</w:t>
      </w:r>
      <w:r>
        <w:rPr>
          <w:rFonts w:hint="eastAsia" w:ascii="Times New Roman"/>
          <w:highlight w:val="none"/>
        </w:rPr>
        <w:t>和</w:t>
      </w:r>
      <w:r>
        <w:rPr>
          <w:rFonts w:ascii="Times New Roman"/>
          <w:highlight w:val="none"/>
        </w:rPr>
        <w:t>热量等。</w:t>
      </w:r>
    </w:p>
    <w:p>
      <w:pPr>
        <w:pStyle w:val="56"/>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3.12]</w:t>
      </w:r>
    </w:p>
    <w:p>
      <w:pPr>
        <w:pStyle w:val="223"/>
        <w:ind w:left="420" w:hanging="420" w:hangingChars="200"/>
        <w:outlineLvl w:val="1"/>
        <w:rPr>
          <w:rFonts w:ascii="Times New Roman"/>
          <w:highlight w:val="none"/>
        </w:rPr>
      </w:pPr>
      <w:r>
        <w:rPr>
          <w:rFonts w:ascii="Times New Roman" w:eastAsia="黑体"/>
          <w:highlight w:val="none"/>
        </w:rPr>
        <w:br w:type="textWrapping"/>
      </w:r>
      <w:r>
        <w:rPr>
          <w:rFonts w:ascii="Times New Roman" w:eastAsia="黑体"/>
          <w:highlight w:val="none"/>
        </w:rPr>
        <w:t>排放因子</w:t>
      </w:r>
      <w:r>
        <w:rPr>
          <w:rFonts w:hint="eastAsia" w:ascii="Times New Roman" w:eastAsia="黑体"/>
          <w:highlight w:val="none"/>
        </w:rPr>
        <w:t xml:space="preserve"> </w:t>
      </w:r>
      <w:r>
        <w:rPr>
          <w:rFonts w:ascii="Times New Roman"/>
          <w:highlight w:val="none"/>
        </w:rPr>
        <w:t>emission factor</w:t>
      </w:r>
    </w:p>
    <w:p>
      <w:pPr>
        <w:pStyle w:val="56"/>
        <w:ind w:firstLine="420"/>
        <w:rPr>
          <w:rFonts w:ascii="Times New Roman"/>
          <w:highlight w:val="none"/>
        </w:rPr>
      </w:pPr>
      <w:r>
        <w:rPr>
          <w:rFonts w:ascii="Times New Roman"/>
          <w:highlight w:val="none"/>
        </w:rPr>
        <w:t>表征单位生产或消费活动量的</w:t>
      </w:r>
      <w:r>
        <w:rPr>
          <w:rFonts w:hint="eastAsia" w:ascii="Times New Roman"/>
          <w:highlight w:val="none"/>
        </w:rPr>
        <w:t>温室气体</w:t>
      </w:r>
      <w:r>
        <w:rPr>
          <w:rFonts w:ascii="Times New Roman"/>
          <w:highlight w:val="none"/>
        </w:rPr>
        <w:t>排放的系数。</w:t>
      </w:r>
    </w:p>
    <w:p>
      <w:pPr>
        <w:pStyle w:val="179"/>
        <w:rPr>
          <w:rFonts w:ascii="Times New Roman"/>
          <w:highlight w:val="none"/>
        </w:rPr>
      </w:pPr>
      <w:r>
        <w:rPr>
          <w:rFonts w:ascii="Times New Roman"/>
          <w:highlight w:val="none"/>
        </w:rPr>
        <w:t>如</w:t>
      </w:r>
      <w:r>
        <w:rPr>
          <w:rFonts w:hint="eastAsia" w:ascii="Times New Roman"/>
          <w:highlight w:val="none"/>
        </w:rPr>
        <w:t>电力排放因子、热力排放因子</w:t>
      </w:r>
      <w:r>
        <w:rPr>
          <w:rFonts w:ascii="Times New Roman"/>
          <w:highlight w:val="none"/>
        </w:rPr>
        <w:t>等。</w:t>
      </w:r>
    </w:p>
    <w:p>
      <w:pPr>
        <w:pStyle w:val="56"/>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3.13]</w:t>
      </w:r>
    </w:p>
    <w:p>
      <w:pPr>
        <w:pStyle w:val="223"/>
        <w:ind w:left="420" w:hanging="420" w:hangingChars="200"/>
        <w:outlineLvl w:val="1"/>
        <w:rPr>
          <w:rFonts w:ascii="Times New Roman"/>
          <w:highlight w:val="none"/>
        </w:rPr>
      </w:pPr>
      <w:r>
        <w:rPr>
          <w:rFonts w:ascii="Times New Roman" w:eastAsia="黑体"/>
          <w:highlight w:val="none"/>
        </w:rPr>
        <w:br w:type="textWrapping"/>
      </w:r>
      <w:r>
        <w:rPr>
          <w:rFonts w:ascii="Times New Roman" w:eastAsia="黑体"/>
          <w:highlight w:val="none"/>
        </w:rPr>
        <w:t>碳氧化率</w:t>
      </w:r>
      <w:r>
        <w:rPr>
          <w:rFonts w:hint="eastAsia" w:ascii="Times New Roman" w:eastAsia="黑体"/>
          <w:highlight w:val="none"/>
        </w:rPr>
        <w:t xml:space="preserve"> </w:t>
      </w:r>
      <w:r>
        <w:rPr>
          <w:rFonts w:ascii="Times New Roman"/>
          <w:highlight w:val="none"/>
        </w:rPr>
        <w:t>carbon</w:t>
      </w:r>
      <w:r>
        <w:rPr>
          <w:rFonts w:ascii="Times New Roman" w:eastAsia="黑体"/>
          <w:highlight w:val="none"/>
        </w:rPr>
        <w:t xml:space="preserve"> </w:t>
      </w:r>
      <w:r>
        <w:rPr>
          <w:rFonts w:ascii="Times New Roman"/>
          <w:highlight w:val="none"/>
        </w:rPr>
        <w:t>oxidation rate</w:t>
      </w:r>
    </w:p>
    <w:p>
      <w:pPr>
        <w:pStyle w:val="56"/>
        <w:ind w:firstLine="420"/>
        <w:rPr>
          <w:rFonts w:ascii="Times New Roman"/>
          <w:highlight w:val="none"/>
        </w:rPr>
      </w:pPr>
      <w:r>
        <w:rPr>
          <w:rFonts w:ascii="Times New Roman"/>
          <w:highlight w:val="none"/>
        </w:rPr>
        <w:t>燃料中的碳在燃烧过程中被完全氧化的百分比。</w:t>
      </w:r>
    </w:p>
    <w:p>
      <w:pPr>
        <w:pStyle w:val="56"/>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3.14]</w:t>
      </w:r>
    </w:p>
    <w:p>
      <w:pPr>
        <w:pStyle w:val="104"/>
        <w:spacing w:before="312" w:after="312"/>
        <w:rPr>
          <w:rFonts w:ascii="Times New Roman"/>
          <w:highlight w:val="none"/>
        </w:rPr>
      </w:pPr>
      <w:bookmarkStart w:id="71" w:name="_Toc128508284"/>
      <w:bookmarkStart w:id="72" w:name="_Toc128508352"/>
      <w:bookmarkStart w:id="73" w:name="_Toc128585841"/>
      <w:bookmarkStart w:id="74" w:name="_Toc128676551"/>
      <w:bookmarkStart w:id="75" w:name="_Toc128508436"/>
      <w:bookmarkStart w:id="76" w:name="_Toc9778"/>
      <w:r>
        <w:rPr>
          <w:rFonts w:ascii="Times New Roman"/>
          <w:highlight w:val="none"/>
        </w:rPr>
        <w:t>核算边界</w:t>
      </w:r>
      <w:bookmarkEnd w:id="71"/>
      <w:bookmarkEnd w:id="72"/>
      <w:bookmarkEnd w:id="73"/>
      <w:bookmarkEnd w:id="74"/>
      <w:bookmarkEnd w:id="75"/>
      <w:r>
        <w:rPr>
          <w:rFonts w:hint="eastAsia" w:ascii="Times New Roman"/>
          <w:highlight w:val="none"/>
          <w:lang w:val="en-US" w:eastAsia="zh-CN"/>
        </w:rPr>
        <w:t>和排放源确定</w:t>
      </w:r>
      <w:bookmarkEnd w:id="76"/>
    </w:p>
    <w:p>
      <w:pPr>
        <w:pStyle w:val="105"/>
        <w:spacing w:before="156" w:after="156"/>
        <w:rPr>
          <w:rFonts w:ascii="Times New Roman"/>
          <w:highlight w:val="none"/>
        </w:rPr>
      </w:pPr>
      <w:bookmarkStart w:id="77" w:name="_Toc503"/>
      <w:r>
        <w:rPr>
          <w:rFonts w:hint="eastAsia" w:ascii="Times New Roman"/>
          <w:highlight w:val="none"/>
          <w:lang w:val="en-US" w:eastAsia="zh-CN"/>
        </w:rPr>
        <w:t>核算边界</w:t>
      </w:r>
      <w:bookmarkEnd w:id="77"/>
    </w:p>
    <w:p>
      <w:pPr>
        <w:pStyle w:val="56"/>
        <w:ind w:firstLine="420"/>
        <w:rPr>
          <w:rFonts w:ascii="Times New Roman"/>
          <w:highlight w:val="none"/>
        </w:rPr>
      </w:pPr>
      <w:r>
        <w:rPr>
          <w:rFonts w:ascii="Times New Roman"/>
          <w:highlight w:val="none"/>
        </w:rPr>
        <w:t>报告主体应以</w:t>
      </w:r>
      <w:r>
        <w:rPr>
          <w:rFonts w:hint="eastAsia" w:ascii="Times New Roman"/>
          <w:highlight w:val="none"/>
          <w:lang w:val="en-US" w:eastAsia="zh-CN"/>
        </w:rPr>
        <w:t>建筑防水材料生产为主营业务的</w:t>
      </w:r>
      <w:r>
        <w:rPr>
          <w:rFonts w:ascii="Times New Roman"/>
          <w:highlight w:val="none"/>
        </w:rPr>
        <w:t>法人或视同法人的独立核算单位为边界，核算和报告其生产系统产生的</w:t>
      </w:r>
      <w:r>
        <w:rPr>
          <w:rFonts w:hint="eastAsia" w:ascii="Times New Roman"/>
          <w:highlight w:val="none"/>
        </w:rPr>
        <w:t>温室气体</w:t>
      </w:r>
      <w:r>
        <w:rPr>
          <w:rFonts w:ascii="Times New Roman"/>
          <w:highlight w:val="none"/>
        </w:rPr>
        <w:t>排放。生产系统包括主要生产系统、辅助生产系统</w:t>
      </w:r>
      <w:r>
        <w:rPr>
          <w:rFonts w:hint="eastAsia" w:ascii="Times New Roman"/>
          <w:highlight w:val="none"/>
        </w:rPr>
        <w:t>以及</w:t>
      </w:r>
      <w:r>
        <w:rPr>
          <w:rFonts w:ascii="Times New Roman"/>
          <w:highlight w:val="none"/>
        </w:rPr>
        <w:t>直接为生产服务的附属生产系统，其中辅助生产系统包括</w:t>
      </w:r>
      <w:r>
        <w:rPr>
          <w:rFonts w:hint="eastAsia" w:ascii="Times New Roman"/>
          <w:highlight w:val="none"/>
        </w:rPr>
        <w:t>供电、供水、供气、供热、制冷、机修、仪修、照明、库房和厂内原料场地以及安全、环保等装置及设施</w:t>
      </w:r>
      <w:r>
        <w:rPr>
          <w:rFonts w:ascii="Times New Roman"/>
          <w:highlight w:val="none"/>
        </w:rPr>
        <w:t>，附属生产系统包括生产指挥系统（厂部）和厂区内为生产服务的部门和单位（如职工食堂、车间浴室、保健站等）。</w:t>
      </w:r>
    </w:p>
    <w:p>
      <w:pPr>
        <w:pStyle w:val="56"/>
        <w:ind w:firstLine="420"/>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的主要生产系统按照不同</w:t>
      </w:r>
      <w:r>
        <w:rPr>
          <w:rFonts w:hint="eastAsia" w:ascii="Times New Roman"/>
          <w:highlight w:val="none"/>
          <w:lang w:eastAsia="zh-CN"/>
        </w:rPr>
        <w:t>建筑防水材料</w:t>
      </w:r>
      <w:r>
        <w:rPr>
          <w:rFonts w:hint="eastAsia" w:ascii="Times New Roman"/>
          <w:highlight w:val="none"/>
          <w:lang w:val="en-US" w:eastAsia="zh-CN"/>
        </w:rPr>
        <w:t>产品种类</w:t>
      </w:r>
      <w:r>
        <w:rPr>
          <w:rFonts w:hint="eastAsia" w:ascii="Times New Roman"/>
          <w:highlight w:val="none"/>
        </w:rPr>
        <w:t>生产工艺可分为：</w:t>
      </w:r>
    </w:p>
    <w:p>
      <w:pPr>
        <w:pStyle w:val="56"/>
        <w:numPr>
          <w:ilvl w:val="0"/>
          <w:numId w:val="34"/>
        </w:numPr>
        <w:ind w:firstLineChars="0"/>
        <w:rPr>
          <w:rFonts w:ascii="Times New Roman"/>
          <w:highlight w:val="none"/>
        </w:rPr>
      </w:pPr>
      <w:r>
        <w:rPr>
          <w:rFonts w:hint="eastAsia"/>
          <w:highlight w:val="none"/>
        </w:rPr>
        <w:t>沥青类防水卷材生产工艺</w:t>
      </w:r>
      <w:r>
        <w:rPr>
          <w:rFonts w:hint="eastAsia" w:ascii="Times New Roman"/>
          <w:highlight w:val="none"/>
        </w:rPr>
        <w:t>的主要生产系统包括：</w:t>
      </w:r>
      <w:r>
        <w:rPr>
          <w:rFonts w:hint="eastAsia"/>
          <w:highlight w:val="none"/>
        </w:rPr>
        <w:t>原材料准备</w:t>
      </w:r>
      <w:r>
        <w:rPr>
          <w:rFonts w:hint="eastAsia"/>
          <w:highlight w:val="none"/>
          <w:lang w:eastAsia="zh-CN"/>
        </w:rPr>
        <w:t>、</w:t>
      </w:r>
      <w:r>
        <w:rPr>
          <w:rFonts w:hint="eastAsia"/>
          <w:highlight w:val="none"/>
        </w:rPr>
        <w:t>沥青熔化</w:t>
      </w:r>
      <w:r>
        <w:rPr>
          <w:rFonts w:hint="eastAsia"/>
          <w:highlight w:val="none"/>
          <w:lang w:eastAsia="zh-CN"/>
        </w:rPr>
        <w:t>、</w:t>
      </w:r>
      <w:r>
        <w:rPr>
          <w:rFonts w:hint="eastAsia"/>
          <w:highlight w:val="none"/>
        </w:rPr>
        <w:t>胎基浸涂</w:t>
      </w:r>
      <w:r>
        <w:rPr>
          <w:rFonts w:hint="eastAsia"/>
          <w:highlight w:val="none"/>
          <w:lang w:eastAsia="zh-CN"/>
        </w:rPr>
        <w:t>、</w:t>
      </w:r>
      <w:r>
        <w:rPr>
          <w:rFonts w:hint="eastAsia"/>
          <w:highlight w:val="none"/>
        </w:rPr>
        <w:t>冷却与固化</w:t>
      </w:r>
      <w:r>
        <w:rPr>
          <w:rFonts w:hint="eastAsia"/>
          <w:highlight w:val="none"/>
          <w:lang w:eastAsia="zh-CN"/>
        </w:rPr>
        <w:t>、</w:t>
      </w:r>
      <w:r>
        <w:rPr>
          <w:rFonts w:hint="eastAsia"/>
          <w:highlight w:val="none"/>
        </w:rPr>
        <w:t>覆面处理</w:t>
      </w:r>
      <w:r>
        <w:rPr>
          <w:rFonts w:hint="eastAsia"/>
          <w:highlight w:val="none"/>
          <w:lang w:eastAsia="zh-CN"/>
        </w:rPr>
        <w:t>、</w:t>
      </w:r>
      <w:r>
        <w:rPr>
          <w:rFonts w:hint="eastAsia"/>
          <w:highlight w:val="none"/>
        </w:rPr>
        <w:t>卷材成型</w:t>
      </w:r>
      <w:r>
        <w:rPr>
          <w:rFonts w:hint="eastAsia"/>
          <w:highlight w:val="none"/>
          <w:lang w:eastAsia="zh-CN"/>
        </w:rPr>
        <w:t>、</w:t>
      </w:r>
      <w:r>
        <w:rPr>
          <w:rFonts w:hint="eastAsia"/>
          <w:highlight w:val="none"/>
        </w:rPr>
        <w:t>质量检验</w:t>
      </w:r>
      <w:r>
        <w:rPr>
          <w:rFonts w:hint="eastAsia"/>
          <w:highlight w:val="none"/>
          <w:lang w:eastAsia="zh-CN"/>
        </w:rPr>
        <w:t>、</w:t>
      </w:r>
      <w:r>
        <w:rPr>
          <w:rFonts w:hint="eastAsia"/>
          <w:highlight w:val="none"/>
        </w:rPr>
        <w:t>包装与标识</w:t>
      </w:r>
      <w:r>
        <w:rPr>
          <w:rFonts w:hint="eastAsia"/>
          <w:highlight w:val="none"/>
          <w:lang w:eastAsia="zh-CN"/>
        </w:rPr>
        <w:t>、</w:t>
      </w:r>
      <w:r>
        <w:rPr>
          <w:rFonts w:hint="eastAsia"/>
          <w:highlight w:val="none"/>
        </w:rPr>
        <w:t>堆放与发运</w:t>
      </w:r>
      <w:r>
        <w:rPr>
          <w:rFonts w:hint="eastAsia"/>
          <w:highlight w:val="none"/>
          <w:lang w:val="en-US" w:eastAsia="zh-CN"/>
        </w:rPr>
        <w:t>等</w:t>
      </w:r>
      <w:r>
        <w:rPr>
          <w:rFonts w:hint="eastAsia" w:ascii="Times New Roman"/>
          <w:highlight w:val="none"/>
        </w:rPr>
        <w:t>。</w:t>
      </w:r>
    </w:p>
    <w:p>
      <w:pPr>
        <w:pStyle w:val="56"/>
        <w:numPr>
          <w:ilvl w:val="0"/>
          <w:numId w:val="34"/>
        </w:numPr>
        <w:ind w:firstLineChars="0"/>
        <w:rPr>
          <w:rFonts w:ascii="Times New Roman"/>
          <w:highlight w:val="none"/>
        </w:rPr>
      </w:pPr>
      <w:r>
        <w:rPr>
          <w:rFonts w:hint="eastAsia"/>
          <w:highlight w:val="none"/>
        </w:rPr>
        <w:t>高分子</w:t>
      </w:r>
      <w:r>
        <w:rPr>
          <w:rFonts w:hint="eastAsia"/>
          <w:highlight w:val="none"/>
          <w:lang w:eastAsia="zh-CN"/>
        </w:rPr>
        <w:t>类</w:t>
      </w:r>
      <w:r>
        <w:rPr>
          <w:rFonts w:hint="eastAsia"/>
          <w:highlight w:val="none"/>
        </w:rPr>
        <w:t>防水卷材</w:t>
      </w:r>
      <w:r>
        <w:rPr>
          <w:rFonts w:hint="eastAsia" w:ascii="Times New Roman"/>
          <w:highlight w:val="none"/>
        </w:rPr>
        <w:t>的主要生产系统包括：</w:t>
      </w:r>
      <w:r>
        <w:rPr>
          <w:rFonts w:hint="eastAsia"/>
          <w:highlight w:val="none"/>
        </w:rPr>
        <w:t>原材料混合</w:t>
      </w:r>
      <w:r>
        <w:rPr>
          <w:rFonts w:hint="eastAsia"/>
          <w:highlight w:val="none"/>
          <w:lang w:eastAsia="zh-CN"/>
        </w:rPr>
        <w:t>、</w:t>
      </w:r>
      <w:r>
        <w:rPr>
          <w:rFonts w:hint="eastAsia"/>
          <w:highlight w:val="none"/>
        </w:rPr>
        <w:t>塑炼与挤出</w:t>
      </w:r>
      <w:r>
        <w:rPr>
          <w:rFonts w:hint="eastAsia"/>
          <w:highlight w:val="none"/>
          <w:lang w:eastAsia="zh-CN"/>
        </w:rPr>
        <w:t>、</w:t>
      </w:r>
      <w:r>
        <w:rPr>
          <w:rFonts w:hint="eastAsia"/>
          <w:highlight w:val="none"/>
        </w:rPr>
        <w:t>冷却定型</w:t>
      </w:r>
      <w:r>
        <w:rPr>
          <w:rFonts w:hint="eastAsia"/>
          <w:highlight w:val="none"/>
          <w:lang w:eastAsia="zh-CN"/>
        </w:rPr>
        <w:t>、</w:t>
      </w:r>
      <w:r>
        <w:rPr>
          <w:rFonts w:hint="eastAsia"/>
          <w:highlight w:val="none"/>
        </w:rPr>
        <w:t>厚度控制</w:t>
      </w:r>
      <w:r>
        <w:rPr>
          <w:rFonts w:hint="eastAsia"/>
          <w:highlight w:val="none"/>
          <w:lang w:eastAsia="zh-CN"/>
        </w:rPr>
        <w:t>、</w:t>
      </w:r>
      <w:r>
        <w:rPr>
          <w:rFonts w:hint="eastAsia"/>
          <w:highlight w:val="none"/>
        </w:rPr>
        <w:t>切割与卷取</w:t>
      </w:r>
      <w:r>
        <w:rPr>
          <w:rFonts w:hint="eastAsia"/>
          <w:highlight w:val="none"/>
          <w:lang w:eastAsia="zh-CN"/>
        </w:rPr>
        <w:t>、</w:t>
      </w:r>
      <w:r>
        <w:rPr>
          <w:rFonts w:hint="eastAsia"/>
          <w:highlight w:val="none"/>
        </w:rPr>
        <w:t>覆膜与背涂</w:t>
      </w:r>
      <w:r>
        <w:rPr>
          <w:rFonts w:hint="eastAsia"/>
          <w:highlight w:val="none"/>
          <w:lang w:eastAsia="zh-CN"/>
        </w:rPr>
        <w:t>、</w:t>
      </w:r>
      <w:r>
        <w:rPr>
          <w:rFonts w:hint="eastAsia"/>
          <w:highlight w:val="none"/>
        </w:rPr>
        <w:t>质量检验</w:t>
      </w:r>
      <w:r>
        <w:rPr>
          <w:rFonts w:hint="eastAsia"/>
          <w:highlight w:val="none"/>
          <w:lang w:eastAsia="zh-CN"/>
        </w:rPr>
        <w:t>、</w:t>
      </w:r>
      <w:r>
        <w:rPr>
          <w:rFonts w:hint="eastAsia"/>
          <w:highlight w:val="none"/>
        </w:rPr>
        <w:t>包装与标识</w:t>
      </w:r>
      <w:r>
        <w:rPr>
          <w:rFonts w:hint="eastAsia"/>
          <w:highlight w:val="none"/>
          <w:lang w:eastAsia="zh-CN"/>
        </w:rPr>
        <w:t>、</w:t>
      </w:r>
      <w:r>
        <w:rPr>
          <w:rFonts w:hint="eastAsia"/>
          <w:highlight w:val="none"/>
        </w:rPr>
        <w:t>堆放与发运</w:t>
      </w:r>
      <w:r>
        <w:rPr>
          <w:rFonts w:hint="eastAsia" w:ascii="Times New Roman"/>
          <w:highlight w:val="none"/>
        </w:rPr>
        <w:t>。</w:t>
      </w:r>
    </w:p>
    <w:p>
      <w:pPr>
        <w:pStyle w:val="56"/>
        <w:numPr>
          <w:ilvl w:val="0"/>
          <w:numId w:val="34"/>
        </w:numPr>
        <w:ind w:firstLineChars="0"/>
        <w:rPr>
          <w:rFonts w:ascii="Times New Roman"/>
          <w:highlight w:val="none"/>
        </w:rPr>
      </w:pPr>
      <w:r>
        <w:rPr>
          <w:rFonts w:hint="eastAsia"/>
          <w:highlight w:val="none"/>
        </w:rPr>
        <w:t>防水涂料</w:t>
      </w:r>
      <w:r>
        <w:rPr>
          <w:rFonts w:hint="eastAsia" w:ascii="Times New Roman"/>
          <w:highlight w:val="none"/>
        </w:rPr>
        <w:t>的主要生产系统包括：</w:t>
      </w:r>
      <w:r>
        <w:rPr>
          <w:rFonts w:hint="eastAsia"/>
          <w:highlight w:val="none"/>
        </w:rPr>
        <w:t>原材料选择</w:t>
      </w:r>
      <w:r>
        <w:rPr>
          <w:rFonts w:hint="eastAsia"/>
          <w:highlight w:val="none"/>
          <w:lang w:eastAsia="zh-CN"/>
        </w:rPr>
        <w:t>、</w:t>
      </w:r>
      <w:r>
        <w:rPr>
          <w:rFonts w:hint="eastAsia"/>
          <w:highlight w:val="none"/>
        </w:rPr>
        <w:t>分散与混合</w:t>
      </w:r>
      <w:r>
        <w:rPr>
          <w:rFonts w:hint="eastAsia"/>
          <w:highlight w:val="none"/>
          <w:lang w:eastAsia="zh-CN"/>
        </w:rPr>
        <w:t>、</w:t>
      </w:r>
      <w:r>
        <w:rPr>
          <w:rFonts w:hint="eastAsia"/>
          <w:highlight w:val="none"/>
        </w:rPr>
        <w:t>研磨细化</w:t>
      </w:r>
      <w:r>
        <w:rPr>
          <w:rFonts w:hint="eastAsia"/>
          <w:highlight w:val="none"/>
          <w:lang w:eastAsia="zh-CN"/>
        </w:rPr>
        <w:t>、</w:t>
      </w:r>
      <w:r>
        <w:rPr>
          <w:rFonts w:hint="eastAsia"/>
          <w:highlight w:val="none"/>
        </w:rPr>
        <w:t>调整与配制</w:t>
      </w:r>
      <w:r>
        <w:rPr>
          <w:rFonts w:hint="eastAsia"/>
          <w:highlight w:val="none"/>
          <w:lang w:eastAsia="zh-CN"/>
        </w:rPr>
        <w:t>、</w:t>
      </w:r>
      <w:r>
        <w:rPr>
          <w:rFonts w:hint="eastAsia"/>
          <w:highlight w:val="none"/>
        </w:rPr>
        <w:t>过滤与灌装</w:t>
      </w:r>
      <w:r>
        <w:rPr>
          <w:rFonts w:hint="eastAsia"/>
          <w:highlight w:val="none"/>
          <w:lang w:eastAsia="zh-CN"/>
        </w:rPr>
        <w:t>、</w:t>
      </w:r>
      <w:r>
        <w:rPr>
          <w:rFonts w:hint="eastAsia"/>
          <w:highlight w:val="none"/>
        </w:rPr>
        <w:t>质量检验</w:t>
      </w:r>
      <w:r>
        <w:rPr>
          <w:rFonts w:hint="eastAsia"/>
          <w:highlight w:val="none"/>
          <w:lang w:eastAsia="zh-CN"/>
        </w:rPr>
        <w:t>、</w:t>
      </w:r>
      <w:r>
        <w:rPr>
          <w:rFonts w:hint="eastAsia"/>
          <w:highlight w:val="none"/>
        </w:rPr>
        <w:t>包装与标识</w:t>
      </w:r>
      <w:r>
        <w:rPr>
          <w:rFonts w:hint="eastAsia"/>
          <w:highlight w:val="none"/>
          <w:lang w:eastAsia="zh-CN"/>
        </w:rPr>
        <w:t>、</w:t>
      </w:r>
      <w:r>
        <w:rPr>
          <w:rFonts w:hint="eastAsia"/>
          <w:highlight w:val="none"/>
        </w:rPr>
        <w:t>堆放与发运</w:t>
      </w:r>
      <w:r>
        <w:rPr>
          <w:rFonts w:hint="eastAsia" w:ascii="Times New Roman"/>
          <w:highlight w:val="none"/>
        </w:rPr>
        <w:t>等。</w:t>
      </w:r>
    </w:p>
    <w:p>
      <w:pPr>
        <w:pStyle w:val="56"/>
        <w:ind w:firstLine="420"/>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在生产过程中，其温室气体排放主要包括化石</w:t>
      </w:r>
      <w:r>
        <w:rPr>
          <w:rFonts w:ascii="Times New Roman"/>
          <w:highlight w:val="none"/>
        </w:rPr>
        <w:t>燃料燃烧排放、购入</w:t>
      </w:r>
      <w:r>
        <w:rPr>
          <w:rFonts w:hint="eastAsia" w:ascii="Times New Roman"/>
          <w:highlight w:val="none"/>
        </w:rPr>
        <w:t>和输出</w:t>
      </w:r>
      <w:r>
        <w:rPr>
          <w:rFonts w:ascii="Times New Roman"/>
          <w:highlight w:val="none"/>
        </w:rPr>
        <w:t>的电力和热力产生的排放。</w:t>
      </w:r>
      <w:r>
        <w:rPr>
          <w:rFonts w:hint="eastAsia" w:ascii="Times New Roman"/>
          <w:highlight w:val="none"/>
          <w:lang w:eastAsia="zh-CN"/>
        </w:rPr>
        <w:t>建筑防水材料生产企业</w:t>
      </w:r>
      <w:r>
        <w:rPr>
          <w:rFonts w:hint="eastAsia" w:ascii="Times New Roman"/>
          <w:highlight w:val="none"/>
        </w:rPr>
        <w:t>温室气体排放核算边界示意图见图1。</w:t>
      </w:r>
    </w:p>
    <w:p>
      <w:pPr>
        <w:pStyle w:val="56"/>
        <w:ind w:firstLine="420"/>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供应链上下游</w:t>
      </w:r>
      <w:r>
        <w:rPr>
          <w:rFonts w:ascii="Times New Roman"/>
          <w:highlight w:val="none"/>
        </w:rPr>
        <w:t>的</w:t>
      </w:r>
      <w:r>
        <w:rPr>
          <w:rFonts w:hint="eastAsia" w:ascii="Times New Roman"/>
          <w:highlight w:val="none"/>
        </w:rPr>
        <w:t>温室气体</w:t>
      </w:r>
      <w:r>
        <w:rPr>
          <w:rFonts w:ascii="Times New Roman"/>
          <w:highlight w:val="none"/>
        </w:rPr>
        <w:t>排放相较</w:t>
      </w:r>
      <w:r>
        <w:rPr>
          <w:rFonts w:hint="eastAsia" w:ascii="Times New Roman"/>
          <w:highlight w:val="none"/>
        </w:rPr>
        <w:t>于</w:t>
      </w:r>
      <w:r>
        <w:rPr>
          <w:rFonts w:ascii="Times New Roman"/>
          <w:highlight w:val="none"/>
        </w:rPr>
        <w:t>企业边界内的排放而言不能忽略不计的</w:t>
      </w:r>
      <w:r>
        <w:rPr>
          <w:rFonts w:hint="eastAsia" w:ascii="Times New Roman"/>
          <w:highlight w:val="none"/>
        </w:rPr>
        <w:t>（如</w:t>
      </w:r>
      <w:r>
        <w:rPr>
          <w:rFonts w:hint="eastAsia" w:ascii="Times New Roman"/>
          <w:highlight w:val="none"/>
          <w:lang w:val="en-US" w:eastAsia="zh-CN"/>
        </w:rPr>
        <w:t>沥青</w:t>
      </w:r>
      <w:r>
        <w:rPr>
          <w:rFonts w:hint="eastAsia" w:ascii="Times New Roman"/>
          <w:highlight w:val="none"/>
        </w:rPr>
        <w:t>等上游原材料对应的温室气体排放）</w:t>
      </w:r>
      <w:r>
        <w:rPr>
          <w:rFonts w:ascii="Times New Roman"/>
          <w:highlight w:val="none"/>
        </w:rPr>
        <w:t>，宜</w:t>
      </w:r>
      <w:r>
        <w:rPr>
          <w:rFonts w:hint="eastAsia" w:ascii="Times New Roman"/>
          <w:highlight w:val="none"/>
        </w:rPr>
        <w:t>单独报告并明确核算方法</w:t>
      </w:r>
      <w:r>
        <w:rPr>
          <w:rFonts w:ascii="Times New Roman"/>
          <w:highlight w:val="none"/>
        </w:rPr>
        <w:t>。</w:t>
      </w:r>
    </w:p>
    <w:p>
      <w:pPr>
        <w:pStyle w:val="56"/>
        <w:ind w:firstLine="420"/>
        <w:rPr>
          <w:rFonts w:ascii="Times New Roman"/>
          <w:highlight w:val="none"/>
        </w:rPr>
      </w:pPr>
      <w:r>
        <w:rPr>
          <w:rFonts w:hint="eastAsia" w:ascii="Times New Roman"/>
          <w:highlight w:val="none"/>
        </w:rPr>
        <w:t>报告主体如果涉及碳清除/碳吸收等本文件规定核算范围外的固碳量，宜单独报告并明确核算方法或计量方法。</w:t>
      </w:r>
    </w:p>
    <w:p>
      <w:pPr>
        <w:pStyle w:val="56"/>
        <w:ind w:firstLine="420"/>
        <w:rPr>
          <w:rFonts w:ascii="Times New Roman"/>
          <w:highlight w:val="none"/>
        </w:rPr>
      </w:pPr>
      <w:r>
        <w:rPr>
          <w:rFonts w:hint="eastAsia" w:ascii="Times New Roman"/>
          <w:highlight w:val="none"/>
        </w:rPr>
        <w:t>报告主体如果还从事</w:t>
      </w:r>
      <w:r>
        <w:rPr>
          <w:rFonts w:hint="eastAsia" w:ascii="Times New Roman"/>
          <w:highlight w:val="none"/>
          <w:lang w:eastAsia="zh-CN"/>
        </w:rPr>
        <w:t>建筑防水材料</w:t>
      </w:r>
      <w:r>
        <w:rPr>
          <w:rFonts w:hint="eastAsia" w:ascii="Times New Roman"/>
          <w:highlight w:val="none"/>
        </w:rPr>
        <w:t>生产以外的其他产品生产活动，并存在本文件未涵盖的温室气体排放环节，则应按照其他相关行业的企业温室气体排放核算和报告要求进行核算并汇总报告，报告格式见附录</w:t>
      </w:r>
      <w:r>
        <w:rPr>
          <w:rFonts w:ascii="Times New Roman"/>
          <w:highlight w:val="none"/>
        </w:rPr>
        <w:t>A。</w:t>
      </w:r>
    </w:p>
    <w:p>
      <w:pPr>
        <w:pStyle w:val="56"/>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eastAsia="宋体"/>
          <w:highlight w:val="none"/>
          <w:lang w:eastAsia="zh-CN"/>
        </w:rPr>
      </w:pPr>
      <w:r>
        <w:rPr>
          <w:rFonts w:hint="eastAsia" w:ascii="Times New Roman" w:eastAsia="宋体"/>
          <w:highlight w:val="none"/>
          <w:lang w:eastAsia="zh-CN"/>
        </w:rPr>
        <w:drawing>
          <wp:inline distT="0" distB="0" distL="114300" distR="114300">
            <wp:extent cx="5544820" cy="2501900"/>
            <wp:effectExtent l="0" t="0" r="0" b="0"/>
            <wp:docPr id="9"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CB019B1-382A-4266-B25C-5B523AA43C14-1" descr="wps"/>
                    <pic:cNvPicPr>
                      <a:picLocks noChangeAspect="1"/>
                    </pic:cNvPicPr>
                  </pic:nvPicPr>
                  <pic:blipFill>
                    <a:blip r:embed="rId25"/>
                    <a:stretch>
                      <a:fillRect/>
                    </a:stretch>
                  </pic:blipFill>
                  <pic:spPr>
                    <a:xfrm>
                      <a:off x="0" y="0"/>
                      <a:ext cx="5544820" cy="2501900"/>
                    </a:xfrm>
                    <a:prstGeom prst="rect">
                      <a:avLst/>
                    </a:prstGeom>
                  </pic:spPr>
                </pic:pic>
              </a:graphicData>
            </a:graphic>
          </wp:inline>
        </w:drawing>
      </w:r>
    </w:p>
    <w:p>
      <w:pPr>
        <w:pStyle w:val="114"/>
        <w:spacing w:before="156" w:after="156"/>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温室气体</w:t>
      </w:r>
      <w:r>
        <w:rPr>
          <w:rFonts w:ascii="Times New Roman"/>
          <w:highlight w:val="none"/>
        </w:rPr>
        <w:t>排放核算边界示意图</w:t>
      </w:r>
    </w:p>
    <w:p>
      <w:pPr>
        <w:pStyle w:val="105"/>
        <w:spacing w:before="156" w:after="156"/>
        <w:rPr>
          <w:rFonts w:ascii="Times New Roman"/>
          <w:highlight w:val="none"/>
        </w:rPr>
      </w:pPr>
      <w:bookmarkStart w:id="78" w:name="_Toc28135"/>
      <w:r>
        <w:rPr>
          <w:rFonts w:hint="eastAsia" w:ascii="Times New Roman"/>
          <w:highlight w:val="none"/>
          <w:lang w:val="en-US" w:eastAsia="zh-CN"/>
        </w:rPr>
        <w:t>排放源</w:t>
      </w:r>
      <w:bookmarkEnd w:id="78"/>
    </w:p>
    <w:p>
      <w:pPr>
        <w:pStyle w:val="65"/>
        <w:spacing w:before="156" w:after="156"/>
        <w:rPr>
          <w:rFonts w:ascii="Times New Roman"/>
          <w:highlight w:val="none"/>
        </w:rPr>
      </w:pPr>
      <w:bookmarkStart w:id="79" w:name="_Toc128508355"/>
      <w:bookmarkStart w:id="80" w:name="_Toc128585844"/>
      <w:bookmarkStart w:id="81" w:name="_Toc128508439"/>
      <w:bookmarkStart w:id="82" w:name="_Toc128508287"/>
      <w:r>
        <w:rPr>
          <w:rFonts w:hint="eastAsia" w:ascii="Times New Roman"/>
          <w:highlight w:val="none"/>
        </w:rPr>
        <w:t>化石</w:t>
      </w:r>
      <w:r>
        <w:rPr>
          <w:rFonts w:ascii="Times New Roman"/>
          <w:highlight w:val="none"/>
        </w:rPr>
        <w:t>燃料燃烧排放</w:t>
      </w:r>
      <w:bookmarkEnd w:id="79"/>
      <w:bookmarkEnd w:id="80"/>
      <w:bookmarkEnd w:id="81"/>
      <w:bookmarkEnd w:id="82"/>
    </w:p>
    <w:p>
      <w:pPr>
        <w:pStyle w:val="56"/>
        <w:ind w:firstLine="420"/>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核算边界内煤炭、柴油、汽油、天然气等化石燃料在各种类型的固定源（如蒸汽锅炉等）或移动源（如厂内机动车辆等）中发生氧化燃烧过程产生的二氧化碳排放。</w:t>
      </w:r>
    </w:p>
    <w:p>
      <w:pPr>
        <w:pStyle w:val="65"/>
        <w:spacing w:before="156" w:after="156"/>
        <w:rPr>
          <w:rFonts w:ascii="Times New Roman"/>
          <w:highlight w:val="none"/>
        </w:rPr>
      </w:pPr>
      <w:bookmarkStart w:id="83" w:name="_Toc128508288"/>
      <w:bookmarkStart w:id="84" w:name="_Toc128585845"/>
      <w:bookmarkStart w:id="85" w:name="_Toc128508440"/>
      <w:bookmarkStart w:id="86" w:name="_Toc128508356"/>
      <w:r>
        <w:rPr>
          <w:rFonts w:hint="eastAsia" w:ascii="Times New Roman"/>
          <w:highlight w:val="none"/>
          <w:lang w:val="en-US" w:eastAsia="zh-CN"/>
        </w:rPr>
        <w:t>净</w:t>
      </w:r>
      <w:r>
        <w:rPr>
          <w:rFonts w:ascii="Times New Roman"/>
          <w:highlight w:val="none"/>
        </w:rPr>
        <w:t>购入</w:t>
      </w:r>
      <w:r>
        <w:rPr>
          <w:rFonts w:hint="eastAsia" w:ascii="Times New Roman"/>
          <w:highlight w:val="none"/>
          <w:lang w:val="en-US" w:eastAsia="zh-CN"/>
        </w:rPr>
        <w:t>使用</w:t>
      </w:r>
      <w:r>
        <w:rPr>
          <w:rFonts w:ascii="Times New Roman"/>
          <w:highlight w:val="none"/>
        </w:rPr>
        <w:t>电力产生的排放</w:t>
      </w:r>
      <w:bookmarkEnd w:id="83"/>
      <w:bookmarkEnd w:id="84"/>
      <w:bookmarkEnd w:id="85"/>
      <w:bookmarkEnd w:id="86"/>
    </w:p>
    <w:p>
      <w:pPr>
        <w:pStyle w:val="56"/>
        <w:ind w:firstLine="420"/>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净</w:t>
      </w:r>
      <w:r>
        <w:rPr>
          <w:rFonts w:ascii="Times New Roman"/>
          <w:highlight w:val="none"/>
        </w:rPr>
        <w:t>购入</w:t>
      </w:r>
      <w:r>
        <w:rPr>
          <w:rFonts w:hint="eastAsia" w:ascii="Times New Roman"/>
          <w:highlight w:val="none"/>
        </w:rPr>
        <w:t>使用</w:t>
      </w:r>
      <w:r>
        <w:rPr>
          <w:rFonts w:ascii="Times New Roman"/>
          <w:highlight w:val="none"/>
        </w:rPr>
        <w:t>电力所对应的生产环节产生的</w:t>
      </w:r>
      <w:r>
        <w:rPr>
          <w:rFonts w:hint="eastAsia" w:ascii="Times New Roman"/>
          <w:highlight w:val="none"/>
        </w:rPr>
        <w:t>二氧化碳</w:t>
      </w:r>
      <w:r>
        <w:rPr>
          <w:rFonts w:ascii="Times New Roman"/>
          <w:highlight w:val="none"/>
        </w:rPr>
        <w:t>排放。</w:t>
      </w:r>
    </w:p>
    <w:p>
      <w:pPr>
        <w:pStyle w:val="65"/>
        <w:spacing w:before="156" w:after="156"/>
        <w:rPr>
          <w:rFonts w:ascii="Times New Roman"/>
          <w:highlight w:val="none"/>
        </w:rPr>
      </w:pPr>
      <w:r>
        <w:rPr>
          <w:rFonts w:hint="eastAsia" w:ascii="Times New Roman"/>
          <w:highlight w:val="none"/>
          <w:lang w:val="en-US" w:eastAsia="zh-CN"/>
        </w:rPr>
        <w:t>净</w:t>
      </w:r>
      <w:r>
        <w:rPr>
          <w:rFonts w:ascii="Times New Roman"/>
          <w:highlight w:val="none"/>
        </w:rPr>
        <w:t>购入</w:t>
      </w:r>
      <w:r>
        <w:rPr>
          <w:rFonts w:hint="eastAsia" w:ascii="Times New Roman"/>
          <w:highlight w:val="none"/>
          <w:lang w:val="en-US" w:eastAsia="zh-CN"/>
        </w:rPr>
        <w:t>使用</w:t>
      </w:r>
      <w:r>
        <w:rPr>
          <w:rFonts w:ascii="Times New Roman"/>
          <w:highlight w:val="none"/>
        </w:rPr>
        <w:t>热力产生的排放</w:t>
      </w:r>
    </w:p>
    <w:p>
      <w:pPr>
        <w:pStyle w:val="56"/>
        <w:ind w:firstLine="420"/>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净</w:t>
      </w:r>
      <w:r>
        <w:rPr>
          <w:rFonts w:ascii="Times New Roman"/>
          <w:highlight w:val="none"/>
        </w:rPr>
        <w:t>购入</w:t>
      </w:r>
      <w:r>
        <w:rPr>
          <w:rFonts w:hint="eastAsia" w:ascii="Times New Roman"/>
          <w:highlight w:val="none"/>
        </w:rPr>
        <w:t>使用</w:t>
      </w:r>
      <w:r>
        <w:rPr>
          <w:rFonts w:ascii="Times New Roman"/>
          <w:highlight w:val="none"/>
        </w:rPr>
        <w:t>热力所对应的生产环节产生的</w:t>
      </w:r>
      <w:r>
        <w:rPr>
          <w:rFonts w:hint="eastAsia" w:ascii="Times New Roman"/>
          <w:highlight w:val="none"/>
        </w:rPr>
        <w:t>二氧化碳</w:t>
      </w:r>
      <w:r>
        <w:rPr>
          <w:rFonts w:ascii="Times New Roman"/>
          <w:highlight w:val="none"/>
        </w:rPr>
        <w:t>排放。</w:t>
      </w:r>
    </w:p>
    <w:p>
      <w:pPr>
        <w:pStyle w:val="104"/>
        <w:spacing w:before="312" w:after="312"/>
        <w:rPr>
          <w:rFonts w:ascii="Times New Roman"/>
          <w:highlight w:val="none"/>
        </w:rPr>
      </w:pPr>
      <w:bookmarkStart w:id="87" w:name="_Toc128585855"/>
      <w:bookmarkStart w:id="88" w:name="_Toc128508450"/>
      <w:bookmarkStart w:id="89" w:name="_Toc128508366"/>
      <w:bookmarkStart w:id="90" w:name="_Toc3280"/>
      <w:bookmarkStart w:id="91" w:name="_Toc128676560"/>
      <w:bookmarkStart w:id="92" w:name="_Toc128508298"/>
      <w:r>
        <w:rPr>
          <w:rFonts w:ascii="Times New Roman"/>
          <w:highlight w:val="none"/>
        </w:rPr>
        <w:t>核算步骤</w:t>
      </w:r>
      <w:bookmarkEnd w:id="87"/>
      <w:bookmarkEnd w:id="88"/>
      <w:bookmarkEnd w:id="89"/>
      <w:bookmarkEnd w:id="90"/>
      <w:bookmarkEnd w:id="91"/>
      <w:bookmarkEnd w:id="92"/>
    </w:p>
    <w:p>
      <w:pPr>
        <w:pStyle w:val="56"/>
        <w:ind w:firstLine="420"/>
        <w:rPr>
          <w:rFonts w:ascii="Times New Roman"/>
          <w:highlight w:val="none"/>
        </w:rPr>
      </w:pPr>
      <w:r>
        <w:rPr>
          <w:rFonts w:ascii="Times New Roman"/>
          <w:highlight w:val="none"/>
        </w:rPr>
        <w:t>报告主体进行企业</w:t>
      </w:r>
      <w:r>
        <w:rPr>
          <w:rFonts w:hint="eastAsia" w:ascii="Times New Roman"/>
          <w:highlight w:val="none"/>
        </w:rPr>
        <w:t>温室气体</w:t>
      </w:r>
      <w:r>
        <w:rPr>
          <w:rFonts w:ascii="Times New Roman"/>
          <w:highlight w:val="none"/>
        </w:rPr>
        <w:t>排放核算和报告的工作流程包括以下步骤：</w:t>
      </w:r>
    </w:p>
    <w:p>
      <w:pPr>
        <w:pStyle w:val="174"/>
        <w:numPr>
          <w:ilvl w:val="0"/>
          <w:numId w:val="35"/>
        </w:numPr>
        <w:rPr>
          <w:rFonts w:ascii="Times New Roman"/>
          <w:highlight w:val="none"/>
        </w:rPr>
      </w:pPr>
      <w:r>
        <w:rPr>
          <w:rFonts w:ascii="Times New Roman"/>
          <w:highlight w:val="none"/>
        </w:rPr>
        <w:t>确定核算边界，识别</w:t>
      </w:r>
      <w:r>
        <w:rPr>
          <w:rFonts w:hint="eastAsia" w:ascii="Times New Roman"/>
          <w:highlight w:val="none"/>
        </w:rPr>
        <w:t>温室气体</w:t>
      </w:r>
      <w:r>
        <w:rPr>
          <w:rFonts w:ascii="Times New Roman"/>
          <w:highlight w:val="none"/>
        </w:rPr>
        <w:t>排放源；</w:t>
      </w:r>
    </w:p>
    <w:p>
      <w:pPr>
        <w:pStyle w:val="174"/>
        <w:numPr>
          <w:ilvl w:val="0"/>
          <w:numId w:val="35"/>
        </w:numPr>
        <w:rPr>
          <w:rFonts w:ascii="Times New Roman"/>
          <w:highlight w:val="none"/>
        </w:rPr>
      </w:pPr>
      <w:r>
        <w:rPr>
          <w:rFonts w:ascii="Times New Roman"/>
          <w:highlight w:val="none"/>
        </w:rPr>
        <w:t>制订</w:t>
      </w:r>
      <w:r>
        <w:rPr>
          <w:rFonts w:hint="eastAsia" w:ascii="Times New Roman"/>
          <w:highlight w:val="none"/>
        </w:rPr>
        <w:t>数据源管理制度及数据质量控制计划</w:t>
      </w:r>
      <w:r>
        <w:rPr>
          <w:rFonts w:ascii="Times New Roman"/>
          <w:highlight w:val="none"/>
        </w:rPr>
        <w:t>；</w:t>
      </w:r>
    </w:p>
    <w:p>
      <w:pPr>
        <w:pStyle w:val="174"/>
        <w:numPr>
          <w:ilvl w:val="0"/>
          <w:numId w:val="35"/>
        </w:numPr>
        <w:rPr>
          <w:rFonts w:ascii="Times New Roman"/>
          <w:highlight w:val="none"/>
        </w:rPr>
      </w:pPr>
      <w:r>
        <w:rPr>
          <w:rFonts w:ascii="Times New Roman"/>
          <w:highlight w:val="none"/>
        </w:rPr>
        <w:t>收集活动数据，选择和获取排放因子数据；</w:t>
      </w:r>
    </w:p>
    <w:p>
      <w:pPr>
        <w:pStyle w:val="174"/>
        <w:numPr>
          <w:ilvl w:val="0"/>
          <w:numId w:val="35"/>
        </w:numPr>
        <w:rPr>
          <w:rFonts w:ascii="Times New Roman"/>
          <w:highlight w:val="none"/>
        </w:rPr>
      </w:pPr>
      <w:r>
        <w:rPr>
          <w:rFonts w:ascii="Times New Roman"/>
          <w:highlight w:val="none"/>
        </w:rPr>
        <w:t>分别计算</w:t>
      </w:r>
      <w:r>
        <w:rPr>
          <w:rFonts w:hint="eastAsia" w:ascii="Times New Roman"/>
          <w:highlight w:val="none"/>
        </w:rPr>
        <w:t>化石</w:t>
      </w:r>
      <w:r>
        <w:rPr>
          <w:rFonts w:ascii="Times New Roman"/>
          <w:highlight w:val="none"/>
        </w:rPr>
        <w:t>燃料燃烧排放量、</w:t>
      </w:r>
      <w:r>
        <w:rPr>
          <w:rFonts w:hint="eastAsia" w:ascii="Times New Roman"/>
          <w:highlight w:val="none"/>
          <w:lang w:val="en-US" w:eastAsia="zh-CN"/>
        </w:rPr>
        <w:t>净</w:t>
      </w:r>
      <w:r>
        <w:rPr>
          <w:rFonts w:ascii="Times New Roman"/>
          <w:highlight w:val="none"/>
        </w:rPr>
        <w:t>购入</w:t>
      </w:r>
      <w:r>
        <w:rPr>
          <w:rFonts w:hint="eastAsia" w:ascii="Times New Roman"/>
          <w:highlight w:val="none"/>
          <w:lang w:val="en-US" w:eastAsia="zh-CN"/>
        </w:rPr>
        <w:t>使用</w:t>
      </w:r>
      <w:r>
        <w:rPr>
          <w:rFonts w:ascii="Times New Roman"/>
          <w:highlight w:val="none"/>
        </w:rPr>
        <w:t>电力</w:t>
      </w:r>
      <w:r>
        <w:rPr>
          <w:rFonts w:hint="eastAsia" w:ascii="Times New Roman"/>
          <w:highlight w:val="none"/>
          <w:lang w:val="en-US" w:eastAsia="zh-CN"/>
        </w:rPr>
        <w:t>所对应的排放量和净购入使用</w:t>
      </w:r>
      <w:r>
        <w:rPr>
          <w:rFonts w:ascii="Times New Roman"/>
          <w:highlight w:val="none"/>
        </w:rPr>
        <w:t>热力所对应的排放量；</w:t>
      </w:r>
    </w:p>
    <w:p>
      <w:pPr>
        <w:pStyle w:val="174"/>
        <w:numPr>
          <w:ilvl w:val="0"/>
          <w:numId w:val="35"/>
        </w:numPr>
        <w:rPr>
          <w:rFonts w:ascii="Times New Roman"/>
          <w:highlight w:val="none"/>
        </w:rPr>
      </w:pPr>
      <w:r>
        <w:rPr>
          <w:rFonts w:ascii="Times New Roman"/>
          <w:highlight w:val="none"/>
        </w:rPr>
        <w:t>汇总计算企业</w:t>
      </w:r>
      <w:r>
        <w:rPr>
          <w:rFonts w:hint="eastAsia" w:ascii="Times New Roman"/>
          <w:highlight w:val="none"/>
        </w:rPr>
        <w:t>温室气体</w:t>
      </w:r>
      <w:r>
        <w:rPr>
          <w:rFonts w:ascii="Times New Roman"/>
          <w:highlight w:val="none"/>
        </w:rPr>
        <w:t>排放总量。</w:t>
      </w:r>
    </w:p>
    <w:p>
      <w:pPr>
        <w:pStyle w:val="104"/>
        <w:spacing w:before="312" w:after="312"/>
        <w:rPr>
          <w:rFonts w:ascii="Times New Roman"/>
          <w:highlight w:val="none"/>
        </w:rPr>
      </w:pPr>
      <w:bookmarkStart w:id="93" w:name="_Toc128676561"/>
      <w:bookmarkStart w:id="94" w:name="_Toc128508367"/>
      <w:bookmarkStart w:id="95" w:name="_Toc128585856"/>
      <w:bookmarkStart w:id="96" w:name="_Toc128508451"/>
      <w:bookmarkStart w:id="97" w:name="_Toc9885"/>
      <w:bookmarkStart w:id="98" w:name="_Toc128508299"/>
      <w:r>
        <w:rPr>
          <w:rFonts w:ascii="Times New Roman"/>
          <w:highlight w:val="none"/>
        </w:rPr>
        <w:t>核算</w:t>
      </w:r>
      <w:r>
        <w:rPr>
          <w:rFonts w:hint="eastAsia" w:ascii="Times New Roman"/>
          <w:highlight w:val="none"/>
          <w:lang w:val="en-US" w:eastAsia="zh-CN"/>
        </w:rPr>
        <w:t>要求及排放量计算</w:t>
      </w:r>
      <w:bookmarkEnd w:id="93"/>
      <w:bookmarkEnd w:id="94"/>
      <w:bookmarkEnd w:id="95"/>
      <w:bookmarkEnd w:id="96"/>
      <w:bookmarkEnd w:id="97"/>
      <w:bookmarkEnd w:id="98"/>
    </w:p>
    <w:p>
      <w:pPr>
        <w:pStyle w:val="105"/>
        <w:spacing w:before="156" w:after="156"/>
        <w:rPr>
          <w:rFonts w:hint="eastAsia" w:ascii="Times New Roman"/>
          <w:highlight w:val="none"/>
        </w:rPr>
      </w:pPr>
      <w:bookmarkStart w:id="99" w:name="_Toc128508301"/>
      <w:bookmarkStart w:id="100" w:name="_Toc128508369"/>
      <w:bookmarkStart w:id="101" w:name="_Toc22926"/>
      <w:bookmarkStart w:id="102" w:name="_Toc128508453"/>
      <w:bookmarkStart w:id="103" w:name="_Toc128585858"/>
      <w:r>
        <w:rPr>
          <w:rFonts w:hint="eastAsia" w:ascii="Times New Roman"/>
          <w:highlight w:val="none"/>
        </w:rPr>
        <w:t>化石燃料燃烧排放</w:t>
      </w:r>
      <w:bookmarkEnd w:id="99"/>
      <w:bookmarkEnd w:id="100"/>
      <w:bookmarkEnd w:id="101"/>
      <w:bookmarkEnd w:id="102"/>
      <w:bookmarkEnd w:id="103"/>
    </w:p>
    <w:p>
      <w:pPr>
        <w:pStyle w:val="65"/>
        <w:spacing w:before="156" w:after="156"/>
        <w:rPr>
          <w:rFonts w:hint="eastAsia" w:ascii="Times New Roman"/>
          <w:highlight w:val="none"/>
        </w:rPr>
      </w:pPr>
      <w:r>
        <w:rPr>
          <w:rFonts w:hint="eastAsia" w:ascii="Times New Roman"/>
          <w:highlight w:val="none"/>
        </w:rPr>
        <w:t>计算公式</w:t>
      </w:r>
    </w:p>
    <w:p>
      <w:pPr>
        <w:pStyle w:val="56"/>
        <w:ind w:firstLine="420"/>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化石燃料燃烧产生的二氧化碳排放量是核算和报告期内企业各种化石燃料燃烧产生的二氧化碳排放量的总和，按</w:t>
      </w:r>
      <w:r>
        <w:rPr>
          <w:rFonts w:hint="eastAsia" w:ascii="Times New Roman"/>
          <w:highlight w:val="none"/>
          <w:lang w:val="en-US" w:eastAsia="zh-CN"/>
        </w:rPr>
        <w:t>公式</w:t>
      </w:r>
      <w:r>
        <w:rPr>
          <w:rFonts w:hint="eastAsia" w:ascii="Times New Roman"/>
          <w:highlight w:val="none"/>
        </w:rPr>
        <w:t>（</w:t>
      </w:r>
      <w:r>
        <w:rPr>
          <w:rFonts w:hint="eastAsia" w:ascii="Times New Roman"/>
          <w:highlight w:val="none"/>
          <w:lang w:val="en-US" w:eastAsia="zh-CN"/>
        </w:rPr>
        <w:t>1</w:t>
      </w:r>
      <w:r>
        <w:rPr>
          <w:rFonts w:hint="eastAsia" w:ascii="Times New Roman"/>
          <w:highlight w:val="none"/>
        </w:rPr>
        <w:t>）计算：</w:t>
      </w:r>
    </w:p>
    <w:p>
      <w:pPr>
        <w:pStyle w:val="113"/>
        <w:rPr>
          <w:rFonts w:ascii="Times New Roman" w:hAnsi="Times New Roman"/>
          <w:highlight w:val="none"/>
        </w:rPr>
      </w:pPr>
      <w:r>
        <w:rPr>
          <w:rFonts w:ascii="Times New Roman" w:hAnsi="Times New Roman"/>
          <w:highlight w:val="none"/>
        </w:rPr>
        <w:tab/>
      </w:r>
      <m:oMath>
        <m:sSub>
          <m:sSubPr>
            <m:ctrlPr>
              <w:rPr>
                <w:rFonts w:ascii="Cambria Math" w:hAnsi="Cambria Math"/>
                <w:i/>
                <w:highlight w:val="none"/>
              </w:rPr>
            </m:ctrlPr>
          </m:sSubPr>
          <m:e>
            <m:r>
              <m:rPr/>
              <w:rPr>
                <w:rFonts w:ascii="Cambria Math" w:hAnsi="Cambria Math"/>
                <w:highlight w:val="none"/>
              </w:rPr>
              <m:t>E</m:t>
            </m:r>
            <m:ctrlPr>
              <w:rPr>
                <w:rFonts w:ascii="Cambria Math" w:hAnsi="Cambria Math"/>
                <w:i/>
                <w:highlight w:val="none"/>
              </w:rPr>
            </m:ctrlPr>
          </m:e>
          <m:sub>
            <m:r>
              <m:rPr/>
              <w:rPr>
                <w:rFonts w:ascii="Cambria Math" w:hAnsi="Cambria Math"/>
                <w:highlight w:val="none"/>
              </w:rPr>
              <m:t>燃烧</m:t>
            </m:r>
            <m:ctrlPr>
              <w:rPr>
                <w:rFonts w:ascii="Cambria Math" w:hAnsi="Cambria Math"/>
                <w:i/>
                <w:highlight w:val="none"/>
              </w:rPr>
            </m:ctrlPr>
          </m:sub>
        </m:sSub>
        <m:r>
          <m:rPr/>
          <w:rPr>
            <w:rFonts w:ascii="Cambria Math" w:hAnsi="Cambria Math"/>
            <w:highlight w:val="none"/>
          </w:rPr>
          <m:t>=</m:t>
        </m:r>
        <m:nary>
          <m:naryPr>
            <m:chr m:val="∑"/>
            <m:ctrlPr>
              <w:rPr>
                <w:rFonts w:ascii="Cambria Math" w:hAnsi="Cambria Math"/>
                <w:i/>
                <w:highlight w:val="none"/>
              </w:rPr>
            </m:ctrlPr>
          </m:naryPr>
          <m:sub>
            <m:r>
              <m:rPr/>
              <w:rPr>
                <w:rFonts w:ascii="Cambria Math" w:hAnsi="Cambria Math"/>
                <w:highlight w:val="none"/>
              </w:rPr>
              <m:t>i=1</m:t>
            </m:r>
            <m:ctrlPr>
              <w:rPr>
                <w:rFonts w:ascii="Cambria Math" w:hAnsi="Cambria Math"/>
                <w:i/>
                <w:highlight w:val="none"/>
              </w:rPr>
            </m:ctrlPr>
          </m:sub>
          <m:sup>
            <m:r>
              <m:rPr/>
              <w:rPr>
                <w:rFonts w:ascii="Cambria Math" w:hAnsi="Cambria Math"/>
                <w:highlight w:val="none"/>
              </w:rPr>
              <m:t>n</m:t>
            </m:r>
            <m:ctrlPr>
              <w:rPr>
                <w:rFonts w:ascii="Cambria Math" w:hAnsi="Cambria Math"/>
                <w:i/>
                <w:highlight w:val="none"/>
              </w:rPr>
            </m:ctrlPr>
          </m:sup>
          <m:e>
            <m:r>
              <m:rPr/>
              <w:rPr>
                <w:rFonts w:ascii="Cambria Math" w:hAnsi="Cambria Math"/>
                <w:highlight w:val="none"/>
              </w:rPr>
              <m:t>(A</m:t>
            </m:r>
            <m:sSub>
              <m:sSubPr>
                <m:ctrlPr>
                  <w:rPr>
                    <w:rFonts w:ascii="Cambria Math" w:hAnsi="Cambria Math"/>
                    <w:i/>
                    <w:highlight w:val="none"/>
                  </w:rPr>
                </m:ctrlPr>
              </m:sSubPr>
              <m:e>
                <m:r>
                  <m:rPr/>
                  <w:rPr>
                    <w:rFonts w:ascii="Cambria Math" w:hAnsi="Cambria Math"/>
                    <w:highlight w:val="none"/>
                  </w:rPr>
                  <m:t>D</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ctrlPr>
              <w:rPr>
                <w:rFonts w:ascii="Cambria Math" w:hAnsi="Cambria Math"/>
                <w:i/>
                <w:highlight w:val="none"/>
              </w:rPr>
            </m:ctrlPr>
          </m:e>
        </m:nary>
        <m:r>
          <m:rPr/>
          <w:rPr>
            <w:rFonts w:ascii="Cambria Math" w:hAnsi="Cambria Math"/>
            <w:highlight w:val="none"/>
          </w:rPr>
          <m: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r>
          <m:rPr/>
          <w:rPr>
            <w:rFonts w:ascii="Cambria Math" w:hAnsi="Cambria Math"/>
            <w:highlight w:val="none"/>
          </w:rPr>
          <m:t>)</m:t>
        </m:r>
      </m:oMath>
      <w:r>
        <w:rPr>
          <w:rFonts w:ascii="Times New Roman" w:hAnsi="Times New Roman" w:eastAsia="微软雅黑"/>
          <w:highlight w:val="none"/>
        </w:rPr>
        <w:tab/>
      </w:r>
      <w:r>
        <w:rPr>
          <w:rFonts w:hint="eastAsia" w:ascii="Times New Roman" w:hAnsi="Times New Roman"/>
          <w:highlight w:val="none"/>
        </w:rPr>
        <w:t>（</w:t>
      </w:r>
      <w:r>
        <w:rPr>
          <w:rFonts w:hint="eastAsia" w:ascii="Times New Roman" w:hAnsi="Times New Roman"/>
          <w:highlight w:val="none"/>
          <w:lang w:val="en-US" w:eastAsia="zh-CN"/>
        </w:rPr>
        <w:t>1</w:t>
      </w:r>
      <w:r>
        <w:rPr>
          <w:rFonts w:hint="eastAsia" w:ascii="Times New Roman" w:hAnsi="Times New Roman"/>
          <w:highlight w:val="none"/>
        </w:rPr>
        <w:t>）</w:t>
      </w:r>
    </w:p>
    <w:p>
      <w:pPr>
        <w:pStyle w:val="55"/>
        <w:ind w:firstLine="420"/>
        <w:rPr>
          <w:rFonts w:ascii="Times New Roman" w:hAnsi="Times New Roman"/>
          <w:highlight w:val="none"/>
        </w:rPr>
      </w:pPr>
      <w:r>
        <w:rPr>
          <w:rFonts w:ascii="Times New Roman" w:hAnsi="Times New Roman"/>
          <w:highlight w:val="none"/>
        </w:rPr>
        <w:t>式中：</w:t>
      </w:r>
    </w:p>
    <w:tbl>
      <w:tblPr>
        <w:tblStyle w:val="2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7"/>
        <w:gridCol w:w="340"/>
        <w:gridCol w:w="8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567" w:type="dxa"/>
            <w:vAlign w:val="top"/>
          </w:tcPr>
          <w:p>
            <w:pPr>
              <w:pStyle w:val="56"/>
              <w:adjustRightInd w:val="0"/>
              <w:snapToGrid w:val="0"/>
              <w:ind w:firstLine="0" w:firstLineChars="0"/>
              <w:rPr>
                <w:rFonts w:ascii="Cambria Math" w:hAnsi="Cambria Math"/>
                <w:i/>
                <w:highlight w:val="none"/>
                <w:oMath/>
              </w:rPr>
            </w:pPr>
            <m:oMathPara>
              <m:oMathParaPr>
                <m:jc m:val="left"/>
              </m:oMathParaPr>
              <m:oMath>
                <m:sSub>
                  <m:sSubPr>
                    <m:ctrlPr>
                      <w:rPr>
                        <w:rFonts w:ascii="Cambria Math" w:hAnsi="Cambria Math"/>
                        <w:i/>
                        <w:iCs/>
                        <w:highlight w:val="none"/>
                      </w:rPr>
                    </m:ctrlPr>
                  </m:sSubPr>
                  <m:e>
                    <m:r>
                      <m:rPr/>
                      <w:rPr>
                        <w:rFonts w:ascii="Cambria Math" w:hAnsi="Cambria Math"/>
                        <w:highlight w:val="none"/>
                      </w:rPr>
                      <m:t>E</m:t>
                    </m:r>
                    <m:ctrlPr>
                      <w:rPr>
                        <w:rFonts w:ascii="Cambria Math" w:hAnsi="Cambria Math"/>
                        <w:i/>
                        <w:iCs/>
                        <w:highlight w:val="none"/>
                      </w:rPr>
                    </m:ctrlPr>
                  </m:e>
                  <m:sub>
                    <m:r>
                      <m:rPr/>
                      <w:rPr>
                        <w:rFonts w:ascii="Cambria Math" w:hAnsi="Cambria Math"/>
                        <w:highlight w:val="none"/>
                      </w:rPr>
                      <m:t>燃烧</m:t>
                    </m:r>
                    <m:ctrlPr>
                      <w:rPr>
                        <w:rFonts w:ascii="Cambria Math" w:hAnsi="Cambria Math"/>
                        <w:i/>
                        <w:iCs/>
                        <w:highlight w:val="none"/>
                      </w:rPr>
                    </m:ctrlPr>
                  </m:sub>
                </m:sSub>
              </m:oMath>
            </m:oMathPara>
          </w:p>
        </w:tc>
        <w:tc>
          <w:tcPr>
            <w:tcW w:w="340" w:type="dxa"/>
            <w:vAlign w:val="top"/>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220" w:type="dxa"/>
            <w:vAlign w:val="top"/>
          </w:tcPr>
          <w:p>
            <w:pPr>
              <w:pStyle w:val="56"/>
              <w:adjustRightInd w:val="0"/>
              <w:snapToGrid w:val="0"/>
              <w:ind w:left="-105" w:leftChars="-50" w:firstLine="0" w:firstLineChars="0"/>
              <w:rPr>
                <w:rFonts w:ascii="Times New Roman"/>
                <w:highlight w:val="none"/>
              </w:rPr>
            </w:pPr>
            <w:r>
              <w:rPr>
                <w:rFonts w:hint="eastAsia" w:ascii="Times New Roman"/>
                <w:highlight w:val="none"/>
              </w:rPr>
              <w:t>企业</w:t>
            </w:r>
            <w:r>
              <w:rPr>
                <w:rFonts w:ascii="Times New Roman"/>
                <w:highlight w:val="none"/>
              </w:rPr>
              <w:t>化石燃料燃烧产生的二氧化碳排放量，</w:t>
            </w:r>
            <w:r>
              <w:rPr>
                <w:rFonts w:hint="eastAsia" w:ascii="Times New Roman"/>
                <w:highlight w:val="none"/>
              </w:rPr>
              <w:t>以</w:t>
            </w:r>
            <w:r>
              <w:rPr>
                <w:rFonts w:ascii="Times New Roman"/>
                <w:highlight w:val="none"/>
              </w:rPr>
              <w:t>吨二氧化碳（tCO</w:t>
            </w:r>
            <w:r>
              <w:rPr>
                <w:rFonts w:ascii="Times New Roman"/>
                <w:highlight w:val="none"/>
                <w:vertAlign w:val="subscript"/>
              </w:rPr>
              <w:t>2</w:t>
            </w:r>
            <w:r>
              <w:rPr>
                <w:rFonts w:ascii="Times New Roman"/>
                <w:highlight w:val="none"/>
              </w:rPr>
              <w:t>）</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567" w:type="dxa"/>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highlight w:val="none"/>
                  </w:rPr>
                  <m:t>A</m:t>
                </m:r>
                <m:sSub>
                  <m:sSubPr>
                    <m:ctrlPr>
                      <w:rPr>
                        <w:rFonts w:ascii="Cambria Math" w:hAnsi="Cambria Math"/>
                        <w:i/>
                        <w:highlight w:val="none"/>
                      </w:rPr>
                    </m:ctrlPr>
                  </m:sSubPr>
                  <m:e>
                    <m:r>
                      <m:rPr/>
                      <w:rPr>
                        <w:rFonts w:ascii="Cambria Math" w:hAnsi="Cambria Math"/>
                        <w:highlight w:val="none"/>
                      </w:rPr>
                      <m:t>D</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220" w:type="dxa"/>
          </w:tcPr>
          <w:p>
            <w:pPr>
              <w:pStyle w:val="56"/>
              <w:adjustRightInd w:val="0"/>
              <w:snapToGrid w:val="0"/>
              <w:ind w:left="-105" w:leftChars="-50" w:firstLine="0" w:firstLineChars="0"/>
              <w:rPr>
                <w:rFonts w:ascii="Times New Roman"/>
                <w:highlight w:val="none"/>
              </w:rPr>
            </w:pPr>
            <w:r>
              <w:rPr>
                <w:rFonts w:ascii="Times New Roman"/>
                <w:highlight w:val="none"/>
              </w:rPr>
              <w:t>核算和报告期内消耗的第</w:t>
            </w:r>
            <m:oMath>
              <m:r>
                <m:rPr/>
                <w:rPr>
                  <w:rFonts w:ascii="Cambria Math" w:hAnsi="Cambria Math"/>
                  <w:highlight w:val="none"/>
                </w:rPr>
                <m:t>i</m:t>
              </m:r>
            </m:oMath>
            <w:r>
              <w:rPr>
                <w:rFonts w:ascii="Times New Roman"/>
                <w:highlight w:val="none"/>
              </w:rPr>
              <w:t>种化石燃料的活动数据，</w:t>
            </w:r>
            <w:r>
              <w:rPr>
                <w:rFonts w:hint="eastAsia" w:ascii="Times New Roman"/>
                <w:highlight w:val="none"/>
              </w:rPr>
              <w:t>以</w:t>
            </w:r>
            <w:r>
              <w:rPr>
                <w:rFonts w:ascii="Times New Roman"/>
                <w:highlight w:val="none"/>
              </w:rPr>
              <w:t>吉焦（GJ）</w:t>
            </w:r>
            <w:r>
              <w:rPr>
                <w:rFonts w:hint="eastAsia" w:ascii="Times New Roman"/>
                <w:highlight w:val="none"/>
              </w:rPr>
              <w:t>计</w:t>
            </w:r>
            <w:r>
              <w:rPr>
                <w:rFonts w:ascii="Times New Roman"/>
                <w:highlight w:val="none"/>
              </w:rPr>
              <w:t>，按</w:t>
            </w:r>
            <w:r>
              <w:rPr>
                <w:rFonts w:hint="eastAsia" w:ascii="Times New Roman"/>
                <w:highlight w:val="none"/>
                <w:lang w:eastAsia="zh-CN"/>
              </w:rPr>
              <w:t>公式（</w:t>
            </w:r>
            <w:r>
              <w:rPr>
                <w:rFonts w:hint="eastAsia" w:ascii="Times New Roman"/>
                <w:highlight w:val="none"/>
                <w:lang w:val="en-US" w:eastAsia="zh-CN"/>
              </w:rPr>
              <w:t>2</w:t>
            </w:r>
            <w:r>
              <w:rPr>
                <w:rFonts w:ascii="Times New Roman"/>
                <w:highlight w:val="none"/>
              </w:rPr>
              <w:t>）计算；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567" w:type="dxa"/>
          </w:tcPr>
          <w:p>
            <w:pPr>
              <w:pStyle w:val="56"/>
              <w:adjustRightInd w:val="0"/>
              <w:snapToGrid w:val="0"/>
              <w:ind w:firstLine="0" w:firstLineChars="0"/>
              <w:rPr>
                <w:rFonts w:ascii="Times New Roman"/>
                <w:iCs/>
                <w:highlight w:val="none"/>
              </w:rPr>
            </w:pPr>
            <m:oMathPara>
              <m:oMathParaPr>
                <m:jc m:val="left"/>
              </m:oMathParaPr>
              <m:oMath>
                <m:r>
                  <m:rPr/>
                  <w:rPr>
                    <w:rFonts w:ascii="Cambria Math" w:hAnsi="Cambria Math"/>
                    <w:highlight w:val="none"/>
                  </w:rPr>
                  <m: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220" w:type="dxa"/>
          </w:tcPr>
          <w:p>
            <w:pPr>
              <w:pStyle w:val="56"/>
              <w:adjustRightInd w:val="0"/>
              <w:snapToGrid w:val="0"/>
              <w:ind w:left="-105" w:leftChars="-50" w:firstLine="0" w:firstLineChars="0"/>
              <w:rPr>
                <w:rFonts w:ascii="Times New Roman"/>
                <w:highlight w:val="none"/>
              </w:rPr>
            </w:pPr>
            <w:r>
              <w:rPr>
                <w:rFonts w:ascii="Times New Roman"/>
                <w:highlight w:val="none"/>
              </w:rPr>
              <w:t>第</w:t>
            </w:r>
            <m:oMath>
              <m:r>
                <m:rPr/>
                <w:rPr>
                  <w:rFonts w:ascii="Cambria Math" w:hAnsi="Cambria Math"/>
                  <w:highlight w:val="none"/>
                </w:rPr>
                <m:t>i</m:t>
              </m:r>
            </m:oMath>
            <w:r>
              <w:rPr>
                <w:rFonts w:ascii="Times New Roman"/>
                <w:highlight w:val="none"/>
              </w:rPr>
              <w:t>种化石燃料的二氧化碳排放因子，</w:t>
            </w:r>
            <w:r>
              <w:rPr>
                <w:rFonts w:hint="eastAsia" w:ascii="Times New Roman"/>
                <w:highlight w:val="none"/>
              </w:rPr>
              <w:t>以</w:t>
            </w:r>
            <w:r>
              <w:rPr>
                <w:rFonts w:ascii="Times New Roman"/>
                <w:highlight w:val="none"/>
              </w:rPr>
              <w:t>吨二氧化碳每吉焦（tCO</w:t>
            </w:r>
            <w:r>
              <w:rPr>
                <w:rFonts w:ascii="Times New Roman"/>
                <w:highlight w:val="none"/>
                <w:vertAlign w:val="subscript"/>
              </w:rPr>
              <w:t>2</w:t>
            </w:r>
            <w:r>
              <w:rPr>
                <w:rFonts w:ascii="Times New Roman"/>
                <w:highlight w:val="none"/>
              </w:rPr>
              <w:t>/GJ）</w:t>
            </w:r>
            <w:r>
              <w:rPr>
                <w:rFonts w:hint="eastAsia" w:ascii="Times New Roman"/>
                <w:highlight w:val="none"/>
              </w:rPr>
              <w:t>计</w:t>
            </w:r>
            <w:r>
              <w:rPr>
                <w:rFonts w:ascii="Times New Roman"/>
                <w:highlight w:val="none"/>
              </w:rPr>
              <w:t>，按</w:t>
            </w:r>
            <w:r>
              <w:rPr>
                <w:rFonts w:hint="eastAsia" w:ascii="Times New Roman"/>
                <w:highlight w:val="none"/>
                <w:lang w:eastAsia="zh-CN"/>
              </w:rPr>
              <w:t>公式（</w:t>
            </w:r>
            <w:r>
              <w:rPr>
                <w:rFonts w:hint="eastAsia" w:ascii="Times New Roman"/>
                <w:highlight w:val="none"/>
                <w:lang w:val="en-US" w:eastAsia="zh-CN"/>
              </w:rPr>
              <w:t>3</w:t>
            </w:r>
            <w:r>
              <w:rPr>
                <w:rFonts w:ascii="Times New Roman"/>
                <w:highlight w:val="none"/>
              </w:rPr>
              <w:t>）计算；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567" w:type="dxa"/>
          </w:tcPr>
          <w:p>
            <w:pPr>
              <w:pStyle w:val="56"/>
              <w:adjustRightInd w:val="0"/>
              <w:snapToGrid w:val="0"/>
              <w:ind w:firstLine="0" w:firstLineChars="0"/>
              <w:rPr>
                <w:rFonts w:ascii="Times New Roman"/>
                <w:iCs/>
                <w:highlight w:val="none"/>
              </w:rPr>
            </w:pPr>
            <m:oMathPara>
              <m:oMathParaPr>
                <m:jc m:val="left"/>
              </m:oMathParaPr>
              <m:oMath>
                <m:r>
                  <m:rPr/>
                  <w:rPr>
                    <w:rFonts w:ascii="Cambria Math" w:hAnsi="Cambria Math"/>
                    <w:highlight w:val="none"/>
                  </w:rPr>
                  <m:t>i</m:t>
                </m:r>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220" w:type="dxa"/>
          </w:tcPr>
          <w:p>
            <w:pPr>
              <w:pStyle w:val="56"/>
              <w:adjustRightInd w:val="0"/>
              <w:snapToGrid w:val="0"/>
              <w:ind w:left="-105" w:leftChars="-50" w:firstLine="0" w:firstLineChars="0"/>
              <w:rPr>
                <w:rFonts w:ascii="Times New Roman"/>
                <w:highlight w:val="none"/>
              </w:rPr>
            </w:pPr>
            <w:r>
              <w:rPr>
                <w:rFonts w:ascii="Times New Roman"/>
                <w:highlight w:val="none"/>
              </w:rPr>
              <w:t>化石燃料类型代号。</w:t>
            </w:r>
          </w:p>
        </w:tc>
      </w:tr>
    </w:tbl>
    <w:p>
      <w:pPr>
        <w:pStyle w:val="113"/>
        <w:rPr>
          <w:rFonts w:ascii="Times New Roman" w:hAnsi="Times New Roman"/>
          <w:highlight w:val="none"/>
        </w:rPr>
      </w:pPr>
      <w:r>
        <w:rPr>
          <w:rFonts w:ascii="Times New Roman" w:hAnsi="Times New Roman"/>
          <w:highlight w:val="none"/>
        </w:rPr>
        <w:tab/>
      </w:r>
      <m:oMath>
        <m:r>
          <m:rPr/>
          <w:rPr>
            <w:rFonts w:ascii="Cambria Math" w:hAnsi="Cambria Math"/>
            <w:highlight w:val="none"/>
          </w:rPr>
          <m:t>A</m:t>
        </m:r>
        <m:sSub>
          <m:sSubPr>
            <m:ctrlPr>
              <w:rPr>
                <w:rFonts w:ascii="Cambria Math" w:hAnsi="Cambria Math"/>
                <w:i/>
                <w:iCs/>
                <w:highlight w:val="none"/>
              </w:rPr>
            </m:ctrlPr>
          </m:sSubPr>
          <m:e>
            <m:r>
              <m:rPr/>
              <w:rPr>
                <w:rFonts w:ascii="Cambria Math" w:hAnsi="Cambria Math"/>
                <w:highlight w:val="none"/>
              </w:rPr>
              <m:t>D</m:t>
            </m:r>
            <m:ctrlPr>
              <w:rPr>
                <w:rFonts w:ascii="Cambria Math" w:hAnsi="Cambria Math"/>
                <w:i/>
                <w:iCs/>
                <w:highlight w:val="none"/>
              </w:rPr>
            </m:ctrlPr>
          </m:e>
          <m:sub>
            <m:r>
              <m:rPr/>
              <w:rPr>
                <w:rFonts w:ascii="Cambria Math" w:hAnsi="Cambria Math"/>
                <w:highlight w:val="none"/>
              </w:rPr>
              <m:t>i</m:t>
            </m:r>
            <m:ctrlPr>
              <w:rPr>
                <w:rFonts w:ascii="Cambria Math" w:hAnsi="Cambria Math"/>
                <w:i/>
                <w:iCs/>
                <w:highlight w:val="none"/>
              </w:rPr>
            </m:ctrlPr>
          </m:sub>
        </m:sSub>
        <m:r>
          <m:rPr/>
          <w:rPr>
            <w:rFonts w:ascii="Cambria Math" w:hAnsi="Cambria Math"/>
            <w:highlight w:val="none"/>
          </w:rPr>
          <m:t>=F</m:t>
        </m:r>
        <m:sSub>
          <m:sSubPr>
            <m:ctrlPr>
              <w:rPr>
                <w:rFonts w:ascii="Cambria Math" w:hAnsi="Cambria Math"/>
                <w:i/>
                <w:iCs/>
                <w:highlight w:val="none"/>
              </w:rPr>
            </m:ctrlPr>
          </m:sSubPr>
          <m:e>
            <m:r>
              <m:rPr/>
              <w:rPr>
                <w:rFonts w:ascii="Cambria Math" w:hAnsi="Cambria Math"/>
                <w:highlight w:val="none"/>
              </w:rPr>
              <m:t>C</m:t>
            </m:r>
            <m:ctrlPr>
              <w:rPr>
                <w:rFonts w:ascii="Cambria Math" w:hAnsi="Cambria Math"/>
                <w:i/>
                <w:iCs/>
                <w:highlight w:val="none"/>
              </w:rPr>
            </m:ctrlPr>
          </m:e>
          <m:sub>
            <m:r>
              <m:rPr/>
              <w:rPr>
                <w:rFonts w:ascii="Cambria Math" w:hAnsi="Cambria Math"/>
                <w:highlight w:val="none"/>
              </w:rPr>
              <m:t>i</m:t>
            </m:r>
            <m:ctrlPr>
              <w:rPr>
                <w:rFonts w:ascii="Cambria Math" w:hAnsi="Cambria Math"/>
                <w:i/>
                <w:iCs/>
                <w:highlight w:val="none"/>
              </w:rPr>
            </m:ctrlPr>
          </m:sub>
        </m:sSub>
        <m:r>
          <m:rPr/>
          <w:rPr>
            <w:rFonts w:ascii="Cambria Math" w:hAnsi="Cambria Math"/>
            <w:highlight w:val="none"/>
          </w:rPr>
          <m:t>×NC</m:t>
        </m:r>
        <m:sSub>
          <m:sSubPr>
            <m:ctrlPr>
              <w:rPr>
                <w:rFonts w:ascii="Cambria Math" w:hAnsi="Cambria Math"/>
                <w:i/>
                <w:iCs/>
                <w:highlight w:val="none"/>
              </w:rPr>
            </m:ctrlPr>
          </m:sSubPr>
          <m:e>
            <m:r>
              <m:rPr/>
              <w:rPr>
                <w:rFonts w:ascii="Cambria Math" w:hAnsi="Cambria Math"/>
                <w:highlight w:val="none"/>
              </w:rPr>
              <m:t>V</m:t>
            </m:r>
            <m:ctrlPr>
              <w:rPr>
                <w:rFonts w:ascii="Cambria Math" w:hAnsi="Cambria Math"/>
                <w:i/>
                <w:iCs/>
                <w:highlight w:val="none"/>
              </w:rPr>
            </m:ctrlPr>
          </m:e>
          <m:sub>
            <m:r>
              <m:rPr/>
              <w:rPr>
                <w:rFonts w:ascii="Cambria Math" w:hAnsi="Cambria Math"/>
                <w:highlight w:val="none"/>
              </w:rPr>
              <m:t>i</m:t>
            </m:r>
            <m:ctrlPr>
              <w:rPr>
                <w:rFonts w:ascii="Cambria Math" w:hAnsi="Cambria Math"/>
                <w:i/>
                <w:iCs/>
                <w:highlight w:val="none"/>
              </w:rPr>
            </m:ctrlPr>
          </m:sub>
        </m:sSub>
      </m:oMath>
      <w:r>
        <w:rPr>
          <w:rFonts w:ascii="Times New Roman" w:hAnsi="Times New Roman" w:eastAsia="微软雅黑"/>
          <w:highlight w:val="none"/>
        </w:rPr>
        <w:tab/>
      </w:r>
      <w:r>
        <w:rPr>
          <w:rFonts w:hint="eastAsia" w:ascii="Times New Roman" w:hAnsi="Times New Roman"/>
          <w:highlight w:val="none"/>
        </w:rPr>
        <w:t>（</w:t>
      </w:r>
      <w:r>
        <w:rPr>
          <w:rFonts w:hint="eastAsia" w:ascii="Times New Roman" w:hAnsi="Times New Roman"/>
          <w:highlight w:val="none"/>
          <w:lang w:val="en-US" w:eastAsia="zh-CN"/>
        </w:rPr>
        <w:t>2</w:t>
      </w:r>
      <w:r>
        <w:rPr>
          <w:rFonts w:hint="eastAsia" w:ascii="Times New Roman" w:hAnsi="Times New Roman"/>
          <w:highlight w:val="none"/>
        </w:rPr>
        <w:t>）</w:t>
      </w:r>
    </w:p>
    <w:p>
      <w:pPr>
        <w:pStyle w:val="55"/>
        <w:ind w:firstLine="420"/>
        <w:rPr>
          <w:rFonts w:ascii="Times New Roman" w:hAnsi="Times New Roman"/>
          <w:highlight w:val="none"/>
        </w:rPr>
      </w:pPr>
      <w:r>
        <w:rPr>
          <w:rFonts w:ascii="Times New Roman" w:hAnsi="Times New Roman"/>
          <w:highlight w:val="none"/>
        </w:rPr>
        <w:t>式中：</w:t>
      </w:r>
    </w:p>
    <w:tbl>
      <w:tblPr>
        <w:tblStyle w:val="2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0"/>
        <w:gridCol w:w="340"/>
        <w:gridCol w:w="8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80" w:type="dxa"/>
          </w:tcPr>
          <w:p>
            <w:pPr>
              <w:pStyle w:val="56"/>
              <w:adjustRightInd w:val="0"/>
              <w:snapToGrid w:val="0"/>
              <w:ind w:firstLine="0" w:firstLineChars="0"/>
              <w:rPr>
                <w:rFonts w:ascii="Times New Roman"/>
                <w:iCs/>
                <w:highlight w:val="none"/>
              </w:rPr>
            </w:pPr>
            <m:oMathPara>
              <m:oMathParaPr>
                <m:jc m:val="left"/>
              </m:oMathParaPr>
              <m:oMath>
                <m:r>
                  <m:rPr/>
                  <w:rPr>
                    <w:rFonts w:ascii="Cambria Math" w:hAnsi="Cambria Math"/>
                    <w:highlight w:val="none"/>
                  </w:rPr>
                  <m:t>F</m:t>
                </m:r>
                <m:sSub>
                  <m:sSubPr>
                    <m:ctrlPr>
                      <w:rPr>
                        <w:rFonts w:ascii="Cambria Math" w:hAnsi="Cambria Math"/>
                        <w:i/>
                        <w:iCs/>
                        <w:highlight w:val="none"/>
                      </w:rPr>
                    </m:ctrlPr>
                  </m:sSubPr>
                  <m:e>
                    <m:r>
                      <m:rPr/>
                      <w:rPr>
                        <w:rFonts w:ascii="Cambria Math" w:hAnsi="Cambria Math"/>
                        <w:highlight w:val="none"/>
                      </w:rPr>
                      <m:t>C</m:t>
                    </m:r>
                    <m:ctrlPr>
                      <w:rPr>
                        <w:rFonts w:ascii="Cambria Math" w:hAnsi="Cambria Math"/>
                        <w:i/>
                        <w:iCs/>
                        <w:highlight w:val="none"/>
                      </w:rPr>
                    </m:ctrlPr>
                  </m:e>
                  <m:sub>
                    <m:r>
                      <m:rPr/>
                      <w:rPr>
                        <w:rFonts w:ascii="Cambria Math" w:hAnsi="Cambria Math"/>
                        <w:highlight w:val="none"/>
                      </w:rPr>
                      <m:t>i</m:t>
                    </m:r>
                    <m:ctrlPr>
                      <w:rPr>
                        <w:rFonts w:ascii="Cambria Math" w:hAnsi="Cambria Math"/>
                        <w:i/>
                        <w:iCs/>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107" w:type="dxa"/>
          </w:tcPr>
          <w:p>
            <w:pPr>
              <w:pStyle w:val="56"/>
              <w:adjustRightInd w:val="0"/>
              <w:snapToGrid w:val="0"/>
              <w:ind w:left="-105" w:leftChars="-50" w:firstLine="0" w:firstLineChars="0"/>
              <w:rPr>
                <w:rFonts w:ascii="Times New Roman"/>
                <w:highlight w:val="none"/>
              </w:rPr>
            </w:pPr>
            <w:r>
              <w:rPr>
                <w:rFonts w:ascii="Times New Roman"/>
                <w:highlight w:val="none"/>
              </w:rPr>
              <w:t>核算和报告期内第</w:t>
            </w:r>
            <m:oMath>
              <m:r>
                <m:rPr/>
                <w:rPr>
                  <w:rFonts w:ascii="Cambria Math" w:hAnsi="Cambria Math"/>
                  <w:highlight w:val="none"/>
                </w:rPr>
                <m:t>i</m:t>
              </m:r>
            </m:oMath>
            <w:r>
              <w:rPr>
                <w:rFonts w:ascii="Times New Roman"/>
                <w:highlight w:val="none"/>
              </w:rPr>
              <w:t>种化石燃料的净消耗量。对固</w:t>
            </w:r>
            <w:r>
              <w:rPr>
                <w:rFonts w:hint="eastAsia" w:ascii="Times New Roman"/>
                <w:highlight w:val="none"/>
              </w:rPr>
              <w:t>态</w:t>
            </w:r>
            <w:r>
              <w:rPr>
                <w:rFonts w:ascii="Times New Roman"/>
                <w:highlight w:val="none"/>
              </w:rPr>
              <w:t>或液</w:t>
            </w:r>
            <w:r>
              <w:rPr>
                <w:rFonts w:hint="eastAsia" w:ascii="Times New Roman"/>
                <w:highlight w:val="none"/>
              </w:rPr>
              <w:t>态</w:t>
            </w:r>
            <w:r>
              <w:rPr>
                <w:rFonts w:ascii="Times New Roman"/>
                <w:highlight w:val="none"/>
              </w:rPr>
              <w:t>燃料，</w:t>
            </w:r>
            <w:r>
              <w:rPr>
                <w:rFonts w:hint="eastAsia" w:ascii="Times New Roman"/>
                <w:highlight w:val="none"/>
              </w:rPr>
              <w:t>以</w:t>
            </w:r>
            <w:r>
              <w:rPr>
                <w:rFonts w:ascii="Times New Roman"/>
                <w:highlight w:val="none"/>
              </w:rPr>
              <w:t>吨（t）</w:t>
            </w:r>
            <w:r>
              <w:rPr>
                <w:rFonts w:hint="eastAsia" w:ascii="Times New Roman"/>
                <w:highlight w:val="none"/>
              </w:rPr>
              <w:t>计</w:t>
            </w:r>
            <w:r>
              <w:rPr>
                <w:rFonts w:ascii="Times New Roman"/>
                <w:highlight w:val="none"/>
              </w:rPr>
              <w:t>；对气</w:t>
            </w:r>
            <w:r>
              <w:rPr>
                <w:rFonts w:hint="eastAsia" w:ascii="Times New Roman"/>
                <w:highlight w:val="none"/>
              </w:rPr>
              <w:t>态</w:t>
            </w:r>
            <w:r>
              <w:rPr>
                <w:rFonts w:ascii="Times New Roman"/>
                <w:highlight w:val="none"/>
              </w:rPr>
              <w:t>燃料，</w:t>
            </w:r>
            <w:r>
              <w:rPr>
                <w:rFonts w:hint="eastAsia" w:ascii="Times New Roman"/>
                <w:highlight w:val="none"/>
              </w:rPr>
              <w:t>以</w:t>
            </w:r>
            <w:r>
              <w:rPr>
                <w:rFonts w:ascii="Times New Roman"/>
                <w:highlight w:val="none"/>
              </w:rPr>
              <w:t>万标立方米（10</w:t>
            </w:r>
            <w:r>
              <w:rPr>
                <w:rFonts w:ascii="Times New Roman"/>
                <w:highlight w:val="none"/>
                <w:vertAlign w:val="superscript"/>
              </w:rPr>
              <w:t>4</w:t>
            </w:r>
            <w:r>
              <w:rPr>
                <w:rFonts w:ascii="Times New Roman"/>
                <w:highlight w:val="none"/>
              </w:rPr>
              <w:t>Nm</w:t>
            </w:r>
            <w:r>
              <w:rPr>
                <w:rFonts w:ascii="Times New Roman"/>
                <w:highlight w:val="none"/>
                <w:vertAlign w:val="superscript"/>
              </w:rPr>
              <w:t>3</w:t>
            </w:r>
            <w:r>
              <w:rPr>
                <w:rFonts w:ascii="Times New Roman"/>
                <w:highlight w:val="none"/>
              </w:rPr>
              <w:t>）</w:t>
            </w:r>
            <w:r>
              <w:rPr>
                <w:rFonts w:hint="eastAsia" w:ascii="Times New Roman"/>
                <w:highlight w:val="none"/>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80" w:type="dxa"/>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highlight w:val="none"/>
                  </w:rPr>
                  <m:t>NC</m:t>
                </m:r>
                <m:sSub>
                  <m:sSubPr>
                    <m:ctrlPr>
                      <w:rPr>
                        <w:rFonts w:ascii="Cambria Math" w:hAnsi="Cambria Math"/>
                        <w:i/>
                        <w:iCs/>
                        <w:highlight w:val="none"/>
                      </w:rPr>
                    </m:ctrlPr>
                  </m:sSubPr>
                  <m:e>
                    <m:r>
                      <m:rPr/>
                      <w:rPr>
                        <w:rFonts w:ascii="Cambria Math" w:hAnsi="Cambria Math"/>
                        <w:highlight w:val="none"/>
                      </w:rPr>
                      <m:t>V</m:t>
                    </m:r>
                    <m:ctrlPr>
                      <w:rPr>
                        <w:rFonts w:ascii="Cambria Math" w:hAnsi="Cambria Math"/>
                        <w:i/>
                        <w:iCs/>
                        <w:highlight w:val="none"/>
                      </w:rPr>
                    </m:ctrlPr>
                  </m:e>
                  <m:sub>
                    <m:r>
                      <m:rPr/>
                      <w:rPr>
                        <w:rFonts w:ascii="Cambria Math" w:hAnsi="Cambria Math"/>
                        <w:highlight w:val="none"/>
                      </w:rPr>
                      <m:t>i</m:t>
                    </m:r>
                    <m:ctrlPr>
                      <w:rPr>
                        <w:rFonts w:ascii="Cambria Math" w:hAnsi="Cambria Math"/>
                        <w:i/>
                        <w:iCs/>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107" w:type="dxa"/>
          </w:tcPr>
          <w:p>
            <w:pPr>
              <w:pStyle w:val="56"/>
              <w:adjustRightInd w:val="0"/>
              <w:snapToGrid w:val="0"/>
              <w:ind w:left="-105" w:leftChars="-50" w:firstLine="0" w:firstLineChars="0"/>
              <w:rPr>
                <w:rFonts w:ascii="Times New Roman"/>
                <w:highlight w:val="none"/>
              </w:rPr>
            </w:pPr>
            <w:r>
              <w:rPr>
                <w:rFonts w:ascii="Times New Roman"/>
                <w:highlight w:val="none"/>
              </w:rPr>
              <w:t>核算和报告期内第</w:t>
            </w:r>
            <m:oMath>
              <m:r>
                <m:rPr/>
                <w:rPr>
                  <w:rFonts w:ascii="Cambria Math" w:hAnsi="Cambria Math"/>
                  <w:highlight w:val="none"/>
                </w:rPr>
                <m:t>i</m:t>
              </m:r>
            </m:oMath>
            <w:r>
              <w:rPr>
                <w:rFonts w:ascii="Times New Roman"/>
                <w:highlight w:val="none"/>
              </w:rPr>
              <w:t>种化石燃料的平均低位发热量。对固</w:t>
            </w:r>
            <w:r>
              <w:rPr>
                <w:rFonts w:hint="eastAsia" w:ascii="Times New Roman"/>
                <w:highlight w:val="none"/>
              </w:rPr>
              <w:t>态</w:t>
            </w:r>
            <w:r>
              <w:rPr>
                <w:rFonts w:ascii="Times New Roman"/>
                <w:highlight w:val="none"/>
              </w:rPr>
              <w:t>或液</w:t>
            </w:r>
            <w:r>
              <w:rPr>
                <w:rFonts w:hint="eastAsia" w:ascii="Times New Roman"/>
                <w:highlight w:val="none"/>
              </w:rPr>
              <w:t>态</w:t>
            </w:r>
            <w:r>
              <w:rPr>
                <w:rFonts w:ascii="Times New Roman"/>
                <w:highlight w:val="none"/>
              </w:rPr>
              <w:t>燃料，</w:t>
            </w:r>
            <w:r>
              <w:rPr>
                <w:rFonts w:hint="eastAsia" w:ascii="Times New Roman"/>
                <w:highlight w:val="none"/>
              </w:rPr>
              <w:t>以</w:t>
            </w:r>
            <w:r>
              <w:rPr>
                <w:rFonts w:ascii="Times New Roman"/>
                <w:highlight w:val="none"/>
              </w:rPr>
              <w:t>吉焦每吨（GJ/t）</w:t>
            </w:r>
            <w:r>
              <w:rPr>
                <w:rFonts w:hint="eastAsia" w:ascii="Times New Roman"/>
                <w:highlight w:val="none"/>
              </w:rPr>
              <w:t>计</w:t>
            </w:r>
            <w:r>
              <w:rPr>
                <w:rFonts w:ascii="Times New Roman"/>
                <w:highlight w:val="none"/>
              </w:rPr>
              <w:t>；对气</w:t>
            </w:r>
            <w:r>
              <w:rPr>
                <w:rFonts w:hint="eastAsia" w:ascii="Times New Roman"/>
                <w:highlight w:val="none"/>
              </w:rPr>
              <w:t>态</w:t>
            </w:r>
            <w:r>
              <w:rPr>
                <w:rFonts w:ascii="Times New Roman"/>
                <w:highlight w:val="none"/>
              </w:rPr>
              <w:t>燃料，</w:t>
            </w:r>
            <w:r>
              <w:rPr>
                <w:rFonts w:hint="eastAsia" w:ascii="Times New Roman"/>
                <w:highlight w:val="none"/>
              </w:rPr>
              <w:t>以</w:t>
            </w:r>
            <w:r>
              <w:rPr>
                <w:rFonts w:ascii="Times New Roman"/>
                <w:highlight w:val="none"/>
              </w:rPr>
              <w:t>吉焦每万标立方米（GJ/10</w:t>
            </w:r>
            <w:r>
              <w:rPr>
                <w:rFonts w:ascii="Times New Roman"/>
                <w:highlight w:val="none"/>
                <w:vertAlign w:val="superscript"/>
              </w:rPr>
              <w:t>4</w:t>
            </w:r>
            <w:r>
              <w:rPr>
                <w:rFonts w:ascii="Times New Roman"/>
                <w:highlight w:val="none"/>
              </w:rPr>
              <w:t>Nm</w:t>
            </w:r>
            <w:r>
              <w:rPr>
                <w:rFonts w:ascii="Times New Roman"/>
                <w:highlight w:val="none"/>
                <w:vertAlign w:val="superscript"/>
              </w:rPr>
              <w:t>3</w:t>
            </w:r>
            <w:r>
              <w:rPr>
                <w:rFonts w:ascii="Times New Roman"/>
                <w:highlight w:val="none"/>
              </w:rPr>
              <w:t>）</w:t>
            </w:r>
            <w:r>
              <w:rPr>
                <w:rFonts w:hint="eastAsia" w:ascii="Times New Roman"/>
                <w:highlight w:val="none"/>
              </w:rPr>
              <w:t>计。</w:t>
            </w:r>
          </w:p>
        </w:tc>
      </w:tr>
    </w:tbl>
    <w:p>
      <w:pPr>
        <w:pStyle w:val="113"/>
        <w:rPr>
          <w:rFonts w:ascii="Times New Roman" w:hAnsi="Times New Roman"/>
          <w:highlight w:val="none"/>
        </w:rPr>
      </w:pPr>
      <w:r>
        <w:rPr>
          <w:rFonts w:ascii="Times New Roman" w:hAnsi="Times New Roman"/>
          <w:highlight w:val="none"/>
        </w:rPr>
        <w:tab/>
      </w:r>
      <m:oMath>
        <m:r>
          <m:rPr/>
          <w:rPr>
            <w:rFonts w:ascii="Cambria Math" w:hAnsi="Cambria Math"/>
            <w:highlight w:val="none"/>
          </w:rPr>
          <m:t>E</m:t>
        </m:r>
        <m:sSub>
          <m:sSubPr>
            <m:ctrlPr>
              <w:rPr>
                <w:rFonts w:ascii="Cambria Math" w:hAnsi="Cambria Math"/>
                <w:i/>
                <w:iCs/>
                <w:highlight w:val="none"/>
              </w:rPr>
            </m:ctrlPr>
          </m:sSubPr>
          <m:e>
            <m:r>
              <m:rPr/>
              <w:rPr>
                <w:rFonts w:ascii="Cambria Math" w:hAnsi="Cambria Math"/>
                <w:highlight w:val="none"/>
              </w:rPr>
              <m:t>F</m:t>
            </m:r>
            <m:ctrlPr>
              <w:rPr>
                <w:rFonts w:ascii="Cambria Math" w:hAnsi="Cambria Math"/>
                <w:i/>
                <w:iCs/>
                <w:highlight w:val="none"/>
              </w:rPr>
            </m:ctrlPr>
          </m:e>
          <m:sub>
            <m:r>
              <m:rPr/>
              <w:rPr>
                <w:rFonts w:ascii="Cambria Math" w:hAnsi="Cambria Math"/>
                <w:highlight w:val="none"/>
              </w:rPr>
              <m:t>i</m:t>
            </m:r>
            <m:ctrlPr>
              <w:rPr>
                <w:rFonts w:ascii="Cambria Math" w:hAnsi="Cambria Math"/>
                <w:i/>
                <w:iCs/>
                <w:highlight w:val="none"/>
              </w:rPr>
            </m:ctrlPr>
          </m:sub>
        </m:sSub>
        <m:r>
          <m:rPr/>
          <w:rPr>
            <w:rFonts w:ascii="Cambria Math" w:hAnsi="Cambria Math"/>
            <w:highlight w:val="none"/>
          </w:rPr>
          <m:t>=C</m:t>
        </m:r>
        <m:sSub>
          <m:sSubPr>
            <m:ctrlPr>
              <w:rPr>
                <w:rFonts w:ascii="Cambria Math" w:hAnsi="Cambria Math"/>
                <w:i/>
                <w:iCs/>
                <w:highlight w:val="none"/>
              </w:rPr>
            </m:ctrlPr>
          </m:sSubPr>
          <m:e>
            <m:r>
              <m:rPr/>
              <w:rPr>
                <w:rFonts w:ascii="Cambria Math" w:hAnsi="Cambria Math"/>
                <w:highlight w:val="none"/>
              </w:rPr>
              <m:t>C</m:t>
            </m:r>
            <m:ctrlPr>
              <w:rPr>
                <w:rFonts w:ascii="Cambria Math" w:hAnsi="Cambria Math"/>
                <w:i/>
                <w:iCs/>
                <w:highlight w:val="none"/>
              </w:rPr>
            </m:ctrlPr>
          </m:e>
          <m:sub>
            <m:r>
              <m:rPr/>
              <w:rPr>
                <w:rFonts w:ascii="Cambria Math" w:hAnsi="Cambria Math"/>
                <w:highlight w:val="none"/>
              </w:rPr>
              <m:t>i</m:t>
            </m:r>
            <m:ctrlPr>
              <w:rPr>
                <w:rFonts w:ascii="Cambria Math" w:hAnsi="Cambria Math"/>
                <w:i/>
                <w:iCs/>
                <w:highlight w:val="none"/>
              </w:rPr>
            </m:ctrlPr>
          </m:sub>
        </m:sSub>
        <m:r>
          <m:rPr/>
          <w:rPr>
            <w:rFonts w:ascii="Cambria Math" w:hAnsi="Cambria Math"/>
            <w:highlight w:val="none"/>
          </w:rPr>
          <m:t>×O</m:t>
        </m:r>
        <m:sSub>
          <m:sSubPr>
            <m:ctrlPr>
              <w:rPr>
                <w:rFonts w:ascii="Cambria Math" w:hAnsi="Cambria Math"/>
                <w:i/>
                <w:iCs/>
                <w:highlight w:val="none"/>
              </w:rPr>
            </m:ctrlPr>
          </m:sSubPr>
          <m:e>
            <m:r>
              <m:rPr/>
              <w:rPr>
                <w:rFonts w:ascii="Cambria Math" w:hAnsi="Cambria Math"/>
                <w:highlight w:val="none"/>
              </w:rPr>
              <m:t>F</m:t>
            </m:r>
            <m:ctrlPr>
              <w:rPr>
                <w:rFonts w:ascii="Cambria Math" w:hAnsi="Cambria Math"/>
                <w:i/>
                <w:iCs/>
                <w:highlight w:val="none"/>
              </w:rPr>
            </m:ctrlPr>
          </m:e>
          <m:sub>
            <m:r>
              <m:rPr/>
              <w:rPr>
                <w:rFonts w:ascii="Cambria Math" w:hAnsi="Cambria Math"/>
                <w:highlight w:val="none"/>
              </w:rPr>
              <m:t>i</m:t>
            </m:r>
            <m:ctrlPr>
              <w:rPr>
                <w:rFonts w:ascii="Cambria Math" w:hAnsi="Cambria Math"/>
                <w:i/>
                <w:iCs/>
                <w:highlight w:val="none"/>
              </w:rPr>
            </m:ctrlPr>
          </m:sub>
        </m:sSub>
        <m:r>
          <m:rPr/>
          <w:rPr>
            <w:rFonts w:ascii="Cambria Math" w:hAnsi="Cambria Math"/>
            <w:highlight w:val="none"/>
          </w:rPr>
          <m:t>×</m:t>
        </m:r>
        <m:f>
          <m:fPr>
            <m:ctrlPr>
              <w:rPr>
                <w:rFonts w:ascii="Cambria Math" w:hAnsi="Cambria Math"/>
                <w:i/>
                <w:iCs/>
                <w:highlight w:val="none"/>
              </w:rPr>
            </m:ctrlPr>
          </m:fPr>
          <m:num>
            <m:r>
              <m:rPr/>
              <w:rPr>
                <w:rFonts w:ascii="Cambria Math" w:hAnsi="Cambria Math"/>
                <w:highlight w:val="none"/>
              </w:rPr>
              <m:t>44</m:t>
            </m:r>
            <m:ctrlPr>
              <w:rPr>
                <w:rFonts w:ascii="Cambria Math" w:hAnsi="Cambria Math"/>
                <w:i/>
                <w:iCs/>
                <w:highlight w:val="none"/>
              </w:rPr>
            </m:ctrlPr>
          </m:num>
          <m:den>
            <m:r>
              <m:rPr/>
              <w:rPr>
                <w:rFonts w:ascii="Cambria Math" w:hAnsi="Cambria Math"/>
                <w:highlight w:val="none"/>
              </w:rPr>
              <m:t>12</m:t>
            </m:r>
            <m:ctrlPr>
              <w:rPr>
                <w:rFonts w:ascii="Cambria Math" w:hAnsi="Cambria Math"/>
                <w:i/>
                <w:iCs/>
                <w:highlight w:val="none"/>
              </w:rPr>
            </m:ctrlPr>
          </m:den>
        </m:f>
      </m:oMath>
      <w:r>
        <w:rPr>
          <w:rFonts w:ascii="Times New Roman" w:hAnsi="Times New Roman" w:eastAsia="微软雅黑"/>
          <w:highlight w:val="none"/>
        </w:rPr>
        <w:tab/>
      </w:r>
      <w:r>
        <w:rPr>
          <w:rFonts w:hint="eastAsia" w:ascii="Times New Roman" w:hAnsi="Times New Roman"/>
          <w:highlight w:val="none"/>
        </w:rPr>
        <w:t>（</w:t>
      </w:r>
      <w:r>
        <w:rPr>
          <w:rFonts w:hint="eastAsia" w:ascii="Times New Roman" w:hAnsi="Times New Roman"/>
          <w:highlight w:val="none"/>
          <w:lang w:val="en-US" w:eastAsia="zh-CN"/>
        </w:rPr>
        <w:t>3</w:t>
      </w:r>
      <w:r>
        <w:rPr>
          <w:rFonts w:hint="eastAsia" w:ascii="Times New Roman" w:hAnsi="Times New Roman"/>
          <w:highlight w:val="none"/>
        </w:rPr>
        <w:t>）</w:t>
      </w:r>
    </w:p>
    <w:p>
      <w:pPr>
        <w:pStyle w:val="55"/>
        <w:ind w:firstLine="420"/>
        <w:rPr>
          <w:rFonts w:ascii="Times New Roman" w:hAnsi="Times New Roman"/>
          <w:highlight w:val="none"/>
        </w:rPr>
      </w:pPr>
      <w:r>
        <w:rPr>
          <w:rFonts w:ascii="Times New Roman" w:hAnsi="Times New Roman"/>
          <w:highlight w:val="none"/>
        </w:rPr>
        <w:t>式中：</w:t>
      </w:r>
    </w:p>
    <w:tbl>
      <w:tblPr>
        <w:tblStyle w:val="2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
        <w:gridCol w:w="340"/>
        <w:gridCol w:w="83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54" w:type="dxa"/>
          </w:tcPr>
          <w:p>
            <w:pPr>
              <w:pStyle w:val="56"/>
              <w:adjustRightInd w:val="0"/>
              <w:snapToGrid w:val="0"/>
              <w:ind w:firstLine="0" w:firstLineChars="0"/>
              <w:rPr>
                <w:rFonts w:ascii="Times New Roman"/>
                <w:iCs/>
                <w:highlight w:val="none"/>
              </w:rPr>
            </w:pPr>
            <m:oMathPara>
              <m:oMathParaPr>
                <m:jc m:val="left"/>
              </m:oMathParaPr>
              <m:oMath>
                <m:r>
                  <m:rPr/>
                  <w:rPr>
                    <w:rFonts w:ascii="Cambria Math" w:hAnsi="Cambria Math"/>
                    <w:szCs w:val="21"/>
                    <w:highlight w:val="none"/>
                  </w:rPr>
                  <m:t>C</m:t>
                </m:r>
                <m:sSub>
                  <m:sSubPr>
                    <m:ctrlPr>
                      <w:rPr>
                        <w:rFonts w:ascii="Cambria Math" w:hAnsi="Cambria Math"/>
                        <w:i/>
                        <w:iCs/>
                        <w:szCs w:val="21"/>
                        <w:highlight w:val="none"/>
                      </w:rPr>
                    </m:ctrlPr>
                  </m:sSubPr>
                  <m:e>
                    <m:r>
                      <m:rPr/>
                      <w:rPr>
                        <w:rFonts w:ascii="Cambria Math" w:hAnsi="Cambria Math"/>
                        <w:szCs w:val="21"/>
                        <w:highlight w:val="none"/>
                      </w:rPr>
                      <m:t>C</m:t>
                    </m:r>
                    <m:ctrlPr>
                      <w:rPr>
                        <w:rFonts w:ascii="Cambria Math" w:hAnsi="Cambria Math"/>
                        <w:i/>
                        <w:iCs/>
                        <w:szCs w:val="21"/>
                        <w:highlight w:val="none"/>
                      </w:rPr>
                    </m:ctrlPr>
                  </m:e>
                  <m:sub>
                    <m:r>
                      <m:rPr/>
                      <w:rPr>
                        <w:rFonts w:ascii="Cambria Math" w:hAnsi="Cambria Math"/>
                        <w:szCs w:val="21"/>
                        <w:highlight w:val="none"/>
                      </w:rPr>
                      <m:t>i</m:t>
                    </m:r>
                    <m:ctrlPr>
                      <w:rPr>
                        <w:rFonts w:ascii="Cambria Math" w:hAnsi="Cambria Math"/>
                        <w:i/>
                        <w:iCs/>
                        <w:szCs w:val="21"/>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334" w:type="dxa"/>
          </w:tcPr>
          <w:p>
            <w:pPr>
              <w:pStyle w:val="56"/>
              <w:adjustRightInd w:val="0"/>
              <w:snapToGrid w:val="0"/>
              <w:ind w:left="-105" w:leftChars="-50" w:firstLine="0" w:firstLineChars="0"/>
              <w:rPr>
                <w:rFonts w:ascii="Times New Roman"/>
                <w:highlight w:val="none"/>
              </w:rPr>
            </w:pPr>
            <w:r>
              <w:rPr>
                <w:rFonts w:ascii="Times New Roman"/>
                <w:highlight w:val="none"/>
              </w:rPr>
              <w:t>第</w:t>
            </w:r>
            <m:oMath>
              <m:r>
                <m:rPr/>
                <w:rPr>
                  <w:rFonts w:ascii="Cambria Math" w:hAnsi="Cambria Math"/>
                  <w:highlight w:val="none"/>
                </w:rPr>
                <m:t>i</m:t>
              </m:r>
            </m:oMath>
            <w:r>
              <w:rPr>
                <w:rFonts w:ascii="Times New Roman"/>
                <w:highlight w:val="none"/>
              </w:rPr>
              <w:t>种化石燃料的单位热值含碳量，</w:t>
            </w:r>
            <w:r>
              <w:rPr>
                <w:rFonts w:hint="eastAsia" w:ascii="Times New Roman"/>
                <w:highlight w:val="none"/>
              </w:rPr>
              <w:t>以</w:t>
            </w:r>
            <w:r>
              <w:rPr>
                <w:rFonts w:ascii="Times New Roman"/>
                <w:highlight w:val="none"/>
              </w:rPr>
              <w:t>吨碳每吉焦（tC/GJ）</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54" w:type="dxa"/>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szCs w:val="21"/>
                    <w:highlight w:val="none"/>
                  </w:rPr>
                  <m:t>O</m:t>
                </m:r>
                <m:sSub>
                  <m:sSubPr>
                    <m:ctrlPr>
                      <w:rPr>
                        <w:rFonts w:ascii="Cambria Math" w:hAnsi="Cambria Math"/>
                        <w:i/>
                        <w:iCs/>
                        <w:szCs w:val="21"/>
                        <w:highlight w:val="none"/>
                      </w:rPr>
                    </m:ctrlPr>
                  </m:sSubPr>
                  <m:e>
                    <m:r>
                      <m:rPr/>
                      <w:rPr>
                        <w:rFonts w:ascii="Cambria Math" w:hAnsi="Cambria Math"/>
                        <w:szCs w:val="21"/>
                        <w:highlight w:val="none"/>
                      </w:rPr>
                      <m:t>F</m:t>
                    </m:r>
                    <m:ctrlPr>
                      <w:rPr>
                        <w:rFonts w:ascii="Cambria Math" w:hAnsi="Cambria Math"/>
                        <w:i/>
                        <w:iCs/>
                        <w:szCs w:val="21"/>
                        <w:highlight w:val="none"/>
                      </w:rPr>
                    </m:ctrlPr>
                  </m:e>
                  <m:sub>
                    <m:r>
                      <m:rPr/>
                      <w:rPr>
                        <w:rFonts w:ascii="Cambria Math" w:hAnsi="Cambria Math"/>
                        <w:szCs w:val="21"/>
                        <w:highlight w:val="none"/>
                      </w:rPr>
                      <m:t>i</m:t>
                    </m:r>
                    <m:ctrlPr>
                      <w:rPr>
                        <w:rFonts w:ascii="Cambria Math" w:hAnsi="Cambria Math"/>
                        <w:i/>
                        <w:iCs/>
                        <w:szCs w:val="21"/>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334" w:type="dxa"/>
          </w:tcPr>
          <w:p>
            <w:pPr>
              <w:pStyle w:val="56"/>
              <w:adjustRightInd w:val="0"/>
              <w:snapToGrid w:val="0"/>
              <w:ind w:left="-105" w:leftChars="-50" w:firstLine="0" w:firstLineChars="0"/>
              <w:rPr>
                <w:rFonts w:ascii="Times New Roman"/>
                <w:highlight w:val="none"/>
              </w:rPr>
            </w:pPr>
            <w:r>
              <w:rPr>
                <w:rFonts w:ascii="Times New Roman"/>
                <w:highlight w:val="none"/>
              </w:rPr>
              <w:t>第</w:t>
            </w:r>
            <m:oMath>
              <m:r>
                <m:rPr/>
                <w:rPr>
                  <w:rFonts w:ascii="Cambria Math" w:hAnsi="Cambria Math"/>
                  <w:highlight w:val="none"/>
                </w:rPr>
                <m:t>i</m:t>
              </m:r>
            </m:oMath>
            <w:r>
              <w:rPr>
                <w:rFonts w:ascii="Times New Roman"/>
                <w:highlight w:val="none"/>
              </w:rPr>
              <w:t>种化石燃料的碳氧化率，%；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54" w:type="dxa"/>
          </w:tcPr>
          <w:p>
            <w:pPr>
              <w:pStyle w:val="56"/>
              <w:adjustRightInd w:val="0"/>
              <w:snapToGrid w:val="0"/>
              <w:ind w:firstLine="0" w:firstLineChars="0"/>
              <w:rPr>
                <w:rFonts w:ascii="Calibri" w:hAnsi="Calibri"/>
                <w:iCs/>
                <w:szCs w:val="21"/>
                <w:highlight w:val="none"/>
              </w:rPr>
            </w:pPr>
            <m:oMathPara>
              <m:oMathParaPr>
                <m:jc m:val="left"/>
              </m:oMathParaPr>
              <m:oMath>
                <m:f>
                  <m:fPr>
                    <m:ctrlPr>
                      <w:rPr>
                        <w:rFonts w:ascii="Cambria Math" w:hAnsi="Cambria Math"/>
                        <w:i/>
                        <w:iCs/>
                        <w:szCs w:val="21"/>
                        <w:highlight w:val="none"/>
                      </w:rPr>
                    </m:ctrlPr>
                  </m:fPr>
                  <m:num>
                    <m:r>
                      <m:rPr/>
                      <w:rPr>
                        <w:rFonts w:ascii="Cambria Math" w:hAnsi="Cambria Math"/>
                        <w:szCs w:val="21"/>
                        <w:highlight w:val="none"/>
                      </w:rPr>
                      <m:t>44</m:t>
                    </m:r>
                    <m:ctrlPr>
                      <w:rPr>
                        <w:rFonts w:ascii="Cambria Math" w:hAnsi="Cambria Math"/>
                        <w:i/>
                        <w:iCs/>
                        <w:szCs w:val="21"/>
                        <w:highlight w:val="none"/>
                      </w:rPr>
                    </m:ctrlPr>
                  </m:num>
                  <m:den>
                    <m:r>
                      <m:rPr/>
                      <w:rPr>
                        <w:rFonts w:ascii="Cambria Math" w:hAnsi="Cambria Math"/>
                        <w:szCs w:val="21"/>
                        <w:highlight w:val="none"/>
                      </w:rPr>
                      <m:t>12</m:t>
                    </m:r>
                    <m:ctrlPr>
                      <w:rPr>
                        <w:rFonts w:ascii="Cambria Math" w:hAnsi="Cambria Math"/>
                        <w:i/>
                        <w:iCs/>
                        <w:szCs w:val="21"/>
                        <w:highlight w:val="none"/>
                      </w:rPr>
                    </m:ctrlPr>
                  </m:den>
                </m:f>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334" w:type="dxa"/>
          </w:tcPr>
          <w:p>
            <w:pPr>
              <w:pStyle w:val="56"/>
              <w:adjustRightInd w:val="0"/>
              <w:snapToGrid w:val="0"/>
              <w:ind w:left="-105" w:leftChars="-50" w:firstLine="0" w:firstLineChars="0"/>
              <w:rPr>
                <w:rFonts w:ascii="Times New Roman"/>
                <w:highlight w:val="none"/>
              </w:rPr>
            </w:pPr>
            <w:r>
              <w:rPr>
                <w:rFonts w:hint="eastAsia" w:ascii="Times New Roman"/>
                <w:highlight w:val="none"/>
              </w:rPr>
              <w:t>二氧化碳与碳的相对分子质量之比。</w:t>
            </w:r>
          </w:p>
        </w:tc>
      </w:tr>
    </w:tbl>
    <w:p>
      <w:pPr>
        <w:pStyle w:val="65"/>
        <w:spacing w:before="156" w:after="156"/>
        <w:rPr>
          <w:rFonts w:hint="eastAsia" w:ascii="Times New Roman"/>
          <w:highlight w:val="none"/>
        </w:rPr>
      </w:pPr>
      <w:r>
        <w:rPr>
          <w:rFonts w:hint="eastAsia" w:ascii="Times New Roman"/>
          <w:highlight w:val="none"/>
        </w:rPr>
        <w:t>数据</w:t>
      </w:r>
      <w:r>
        <w:rPr>
          <w:rFonts w:hint="eastAsia" w:ascii="Times New Roman"/>
          <w:highlight w:val="none"/>
          <w:lang w:val="en-US" w:eastAsia="zh-CN"/>
        </w:rPr>
        <w:t>的监测与</w:t>
      </w:r>
      <w:r>
        <w:rPr>
          <w:rFonts w:hint="eastAsia" w:ascii="Times New Roman"/>
          <w:highlight w:val="none"/>
        </w:rPr>
        <w:t>获取</w:t>
      </w:r>
    </w:p>
    <w:p>
      <w:pPr>
        <w:pStyle w:val="94"/>
        <w:spacing w:before="156" w:after="156"/>
        <w:rPr>
          <w:rFonts w:hint="eastAsia" w:ascii="Times New Roman"/>
          <w:highlight w:val="none"/>
          <w:lang w:val="en-US" w:eastAsia="zh-CN"/>
        </w:rPr>
      </w:pPr>
      <w:r>
        <w:rPr>
          <w:rFonts w:hint="eastAsia" w:ascii="Times New Roman"/>
          <w:highlight w:val="none"/>
          <w:lang w:val="en-US" w:eastAsia="zh-CN"/>
        </w:rPr>
        <w:t>化石燃料消耗量</w:t>
      </w:r>
    </w:p>
    <w:p>
      <w:pPr>
        <w:pStyle w:val="56"/>
        <w:ind w:firstLine="420"/>
        <w:rPr>
          <w:rFonts w:ascii="Times New Roman"/>
          <w:highlight w:val="none"/>
        </w:rPr>
      </w:pPr>
      <w:r>
        <w:rPr>
          <w:rFonts w:ascii="Times New Roman"/>
          <w:highlight w:val="none"/>
        </w:rPr>
        <w:t>企业应按GB 17167</w:t>
      </w:r>
      <w:r>
        <w:rPr>
          <w:rFonts w:hint="eastAsia" w:ascii="Times New Roman"/>
          <w:highlight w:val="none"/>
        </w:rPr>
        <w:t>和</w:t>
      </w:r>
      <w:r>
        <w:rPr>
          <w:rFonts w:ascii="Times New Roman"/>
          <w:highlight w:val="none"/>
        </w:rPr>
        <w:t>GB/T 24851的要求配备化石燃料消耗量计量器具，化石燃料消耗量的计量要求见表</w:t>
      </w:r>
      <w:r>
        <w:rPr>
          <w:rFonts w:hint="eastAsia" w:ascii="Times New Roman"/>
          <w:highlight w:val="none"/>
          <w:lang w:val="en-US" w:eastAsia="zh-CN"/>
        </w:rPr>
        <w:t>1</w:t>
      </w:r>
      <w:r>
        <w:rPr>
          <w:rFonts w:ascii="Times New Roman"/>
          <w:highlight w:val="none"/>
        </w:rPr>
        <w:t>。</w:t>
      </w:r>
    </w:p>
    <w:p>
      <w:pPr>
        <w:pStyle w:val="112"/>
        <w:spacing w:before="156" w:after="156"/>
        <w:rPr>
          <w:rFonts w:ascii="Times New Roman"/>
          <w:highlight w:val="none"/>
        </w:rPr>
      </w:pPr>
      <w:r>
        <w:rPr>
          <w:rFonts w:ascii="Times New Roman"/>
          <w:highlight w:val="none"/>
        </w:rPr>
        <w:t>化石燃料消耗量计量要求</w:t>
      </w:r>
    </w:p>
    <w:tbl>
      <w:tblPr>
        <w:tblStyle w:val="2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91"/>
        <w:gridCol w:w="1176"/>
        <w:gridCol w:w="2303"/>
        <w:gridCol w:w="992"/>
        <w:gridCol w:w="1153"/>
        <w:gridCol w:w="703"/>
        <w:gridCol w:w="659"/>
        <w:gridCol w:w="1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7"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ascii="Times New Roman" w:hAnsi="Times New Roman" w:cs="Times New Roman"/>
                <w:b/>
                <w:bCs/>
                <w:sz w:val="18"/>
                <w:szCs w:val="18"/>
                <w:highlight w:val="none"/>
              </w:rPr>
              <w:t>燃料类型</w:t>
            </w:r>
          </w:p>
        </w:tc>
        <w:tc>
          <w:tcPr>
            <w:tcW w:w="61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ascii="Times New Roman" w:hAnsi="Times New Roman" w:cs="Times New Roman"/>
                <w:b/>
                <w:bCs/>
                <w:sz w:val="18"/>
                <w:szCs w:val="18"/>
                <w:highlight w:val="none"/>
              </w:rPr>
              <w:t>计量器具</w:t>
            </w:r>
          </w:p>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hint="eastAsia" w:ascii="Times New Roman" w:hAnsi="Times New Roman" w:cs="Times New Roman"/>
                <w:b/>
                <w:bCs/>
                <w:sz w:val="18"/>
                <w:szCs w:val="18"/>
                <w:highlight w:val="none"/>
              </w:rPr>
              <w:t>名称</w:t>
            </w:r>
          </w:p>
        </w:tc>
        <w:tc>
          <w:tcPr>
            <w:tcW w:w="12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ascii="Times New Roman" w:hAnsi="Times New Roman" w:cs="Times New Roman"/>
                <w:b/>
                <w:bCs/>
                <w:sz w:val="18"/>
                <w:szCs w:val="18"/>
                <w:highlight w:val="none"/>
              </w:rPr>
              <w:t>准确度等级</w:t>
            </w:r>
          </w:p>
        </w:tc>
        <w:tc>
          <w:tcPr>
            <w:tcW w:w="518"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ascii="Times New Roman" w:hAnsi="Times New Roman" w:cs="Times New Roman"/>
                <w:b/>
                <w:bCs/>
                <w:sz w:val="18"/>
                <w:szCs w:val="18"/>
                <w:highlight w:val="none"/>
              </w:rPr>
              <w:t>计量设备溯源方式</w:t>
            </w:r>
          </w:p>
        </w:tc>
        <w:tc>
          <w:tcPr>
            <w:tcW w:w="6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ascii="Times New Roman" w:hAnsi="Times New Roman" w:cs="Times New Roman"/>
                <w:b/>
                <w:bCs/>
                <w:sz w:val="18"/>
                <w:szCs w:val="18"/>
                <w:highlight w:val="none"/>
              </w:rPr>
              <w:t>溯源频次</w:t>
            </w:r>
          </w:p>
        </w:tc>
        <w:tc>
          <w:tcPr>
            <w:tcW w:w="367"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ascii="Times New Roman" w:hAnsi="Times New Roman" w:cs="Times New Roman"/>
                <w:b/>
                <w:bCs/>
                <w:sz w:val="18"/>
                <w:szCs w:val="18"/>
                <w:highlight w:val="none"/>
              </w:rPr>
              <w:t>计量频次</w:t>
            </w:r>
          </w:p>
        </w:tc>
        <w:tc>
          <w:tcPr>
            <w:tcW w:w="34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ascii="Times New Roman" w:hAnsi="Times New Roman" w:cs="Times New Roman"/>
                <w:b/>
                <w:bCs/>
                <w:sz w:val="18"/>
                <w:szCs w:val="18"/>
                <w:highlight w:val="none"/>
              </w:rPr>
              <w:t>记录频次</w:t>
            </w:r>
          </w:p>
        </w:tc>
        <w:tc>
          <w:tcPr>
            <w:tcW w:w="831"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highlight w:val="none"/>
              </w:rPr>
            </w:pPr>
            <w:r>
              <w:rPr>
                <w:rFonts w:ascii="Times New Roman" w:hAnsi="Times New Roman" w:cs="Times New Roman"/>
                <w:b/>
                <w:bCs/>
                <w:sz w:val="18"/>
                <w:szCs w:val="18"/>
                <w:highlight w:val="none"/>
              </w:rPr>
              <w:t>安装位置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7" w:type="pct"/>
            <w:vMerge w:val="restar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固态燃料</w:t>
            </w:r>
          </w:p>
        </w:tc>
        <w:tc>
          <w:tcPr>
            <w:tcW w:w="61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非自动衡器</w:t>
            </w:r>
          </w:p>
        </w:tc>
        <w:tc>
          <w:tcPr>
            <w:tcW w:w="12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0.1</w:t>
            </w:r>
          </w:p>
        </w:tc>
        <w:tc>
          <w:tcPr>
            <w:tcW w:w="518"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检定</w:t>
            </w:r>
          </w:p>
        </w:tc>
        <w:tc>
          <w:tcPr>
            <w:tcW w:w="6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1次/12个月</w:t>
            </w:r>
          </w:p>
        </w:tc>
        <w:tc>
          <w:tcPr>
            <w:tcW w:w="367"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每批</w:t>
            </w:r>
          </w:p>
        </w:tc>
        <w:tc>
          <w:tcPr>
            <w:tcW w:w="34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每批</w:t>
            </w:r>
          </w:p>
        </w:tc>
        <w:tc>
          <w:tcPr>
            <w:tcW w:w="831"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hint="eastAsia" w:ascii="Times New Roman" w:hAnsi="Times New Roman" w:cs="Times New Roman"/>
                <w:sz w:val="18"/>
                <w:szCs w:val="18"/>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7" w:type="pct"/>
            <w:vMerge w:val="continue"/>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p>
        </w:tc>
        <w:tc>
          <w:tcPr>
            <w:tcW w:w="61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连续累计自动衡器</w:t>
            </w:r>
          </w:p>
        </w:tc>
        <w:tc>
          <w:tcPr>
            <w:tcW w:w="12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0.5</w:t>
            </w:r>
          </w:p>
        </w:tc>
        <w:tc>
          <w:tcPr>
            <w:tcW w:w="518"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检定</w:t>
            </w:r>
          </w:p>
        </w:tc>
        <w:tc>
          <w:tcPr>
            <w:tcW w:w="6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1次/12个月</w:t>
            </w:r>
          </w:p>
        </w:tc>
        <w:tc>
          <w:tcPr>
            <w:tcW w:w="367"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连续</w:t>
            </w:r>
          </w:p>
        </w:tc>
        <w:tc>
          <w:tcPr>
            <w:tcW w:w="34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每月</w:t>
            </w:r>
          </w:p>
        </w:tc>
        <w:tc>
          <w:tcPr>
            <w:tcW w:w="831"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安装在进燃烧设备燃烧前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7"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液态燃料</w:t>
            </w:r>
          </w:p>
        </w:tc>
        <w:tc>
          <w:tcPr>
            <w:tcW w:w="61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hint="eastAsia" w:ascii="Times New Roman" w:hAnsi="Times New Roman" w:cs="Times New Roman"/>
                <w:sz w:val="18"/>
                <w:szCs w:val="18"/>
                <w:highlight w:val="none"/>
              </w:rPr>
              <w:t>油</w:t>
            </w:r>
            <w:r>
              <w:rPr>
                <w:rFonts w:ascii="Times New Roman" w:hAnsi="Times New Roman" w:cs="Times New Roman"/>
                <w:sz w:val="18"/>
                <w:szCs w:val="18"/>
                <w:highlight w:val="none"/>
              </w:rPr>
              <w:t>流量</w:t>
            </w:r>
            <w:r>
              <w:rPr>
                <w:rFonts w:hint="eastAsia" w:ascii="Times New Roman" w:hAnsi="Times New Roman" w:cs="Times New Roman"/>
                <w:sz w:val="18"/>
                <w:szCs w:val="18"/>
                <w:highlight w:val="none"/>
              </w:rPr>
              <w:t>表</w:t>
            </w:r>
          </w:p>
        </w:tc>
        <w:tc>
          <w:tcPr>
            <w:tcW w:w="12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成品油：0.3</w:t>
            </w:r>
          </w:p>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重油、渣油：0.5</w:t>
            </w:r>
          </w:p>
        </w:tc>
        <w:tc>
          <w:tcPr>
            <w:tcW w:w="518"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检定/校准</w:t>
            </w:r>
          </w:p>
        </w:tc>
        <w:tc>
          <w:tcPr>
            <w:tcW w:w="6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1次/12个月</w:t>
            </w:r>
          </w:p>
        </w:tc>
        <w:tc>
          <w:tcPr>
            <w:tcW w:w="367"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连续</w:t>
            </w:r>
          </w:p>
        </w:tc>
        <w:tc>
          <w:tcPr>
            <w:tcW w:w="34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每月</w:t>
            </w:r>
          </w:p>
        </w:tc>
        <w:tc>
          <w:tcPr>
            <w:tcW w:w="831"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安装在储油罐与燃烧设备之间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17"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气态燃料</w:t>
            </w:r>
          </w:p>
        </w:tc>
        <w:tc>
          <w:tcPr>
            <w:tcW w:w="61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气体流量</w:t>
            </w:r>
            <w:r>
              <w:rPr>
                <w:rFonts w:hint="eastAsia" w:ascii="Times New Roman" w:hAnsi="Times New Roman" w:cs="Times New Roman"/>
                <w:sz w:val="18"/>
                <w:szCs w:val="18"/>
                <w:highlight w:val="none"/>
              </w:rPr>
              <w:t>表</w:t>
            </w:r>
          </w:p>
        </w:tc>
        <w:tc>
          <w:tcPr>
            <w:tcW w:w="12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hint="eastAsia" w:ascii="Times New Roman" w:hAnsi="Times New Roman" w:cs="Times New Roman"/>
                <w:sz w:val="18"/>
                <w:szCs w:val="18"/>
                <w:highlight w:val="none"/>
              </w:rPr>
              <w:t>天然气、煤气：2.0</w:t>
            </w:r>
          </w:p>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hint="eastAsia" w:ascii="Times New Roman" w:hAnsi="Times New Roman" w:cs="Times New Roman"/>
                <w:sz w:val="18"/>
                <w:szCs w:val="18"/>
                <w:highlight w:val="none"/>
              </w:rPr>
              <w:t>氢气、氮气、压缩空气：</w:t>
            </w:r>
            <w:r>
              <w:rPr>
                <w:rFonts w:ascii="Times New Roman" w:hAnsi="Times New Roman" w:cs="Times New Roman"/>
                <w:sz w:val="18"/>
                <w:szCs w:val="18"/>
                <w:highlight w:val="none"/>
              </w:rPr>
              <w:t>1</w:t>
            </w:r>
            <w:r>
              <w:rPr>
                <w:rFonts w:hint="eastAsia" w:ascii="Times New Roman" w:hAnsi="Times New Roman" w:cs="Times New Roman"/>
                <w:sz w:val="18"/>
                <w:szCs w:val="18"/>
                <w:highlight w:val="none"/>
              </w:rPr>
              <w:t>.5</w:t>
            </w:r>
          </w:p>
        </w:tc>
        <w:tc>
          <w:tcPr>
            <w:tcW w:w="518"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检定/校准</w:t>
            </w:r>
          </w:p>
        </w:tc>
        <w:tc>
          <w:tcPr>
            <w:tcW w:w="602"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1次/12个月</w:t>
            </w:r>
          </w:p>
        </w:tc>
        <w:tc>
          <w:tcPr>
            <w:tcW w:w="367"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连续</w:t>
            </w:r>
          </w:p>
        </w:tc>
        <w:tc>
          <w:tcPr>
            <w:tcW w:w="344"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每月</w:t>
            </w:r>
          </w:p>
        </w:tc>
        <w:tc>
          <w:tcPr>
            <w:tcW w:w="831" w:type="pct"/>
            <w:vAlign w:val="center"/>
          </w:tcPr>
          <w:p>
            <w:pPr>
              <w:pStyle w:val="228"/>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highlight w:val="none"/>
              </w:rPr>
            </w:pPr>
            <w:r>
              <w:rPr>
                <w:rFonts w:ascii="Times New Roman" w:hAnsi="Times New Roman" w:cs="Times New Roman"/>
                <w:sz w:val="18"/>
                <w:szCs w:val="18"/>
                <w:highlight w:val="none"/>
              </w:rPr>
              <w:t>安装于储气罐与燃烧设备之间</w:t>
            </w:r>
          </w:p>
        </w:tc>
      </w:tr>
    </w:tbl>
    <w:p>
      <w:pPr>
        <w:pStyle w:val="56"/>
        <w:ind w:firstLine="420"/>
        <w:rPr>
          <w:rFonts w:hint="eastAsia" w:ascii="Times New Roman"/>
          <w:highlight w:val="none"/>
        </w:rPr>
      </w:pPr>
      <w:bookmarkStart w:id="104" w:name="_Toc128676557"/>
      <w:bookmarkStart w:id="105" w:name="_Toc128508445"/>
      <w:bookmarkStart w:id="106" w:name="_Toc128508361"/>
      <w:bookmarkStart w:id="107" w:name="_Toc128585850"/>
      <w:bookmarkStart w:id="108" w:name="_Toc128508293"/>
    </w:p>
    <w:p>
      <w:pPr>
        <w:pStyle w:val="229"/>
        <w:spacing w:line="360" w:lineRule="exact"/>
        <w:rPr>
          <w:rFonts w:ascii="Times New Roman"/>
          <w:highlight w:val="none"/>
        </w:rPr>
      </w:pPr>
      <w:r>
        <w:rPr>
          <w:rFonts w:hint="default" w:ascii="Times New Roman" w:hAnsi="Times New Roman" w:cs="Times New Roman"/>
          <w:highlight w:val="none"/>
        </w:rPr>
        <w:t>根据核算和报告期内各种化石燃料的</w:t>
      </w:r>
      <w:r>
        <w:rPr>
          <w:rFonts w:hint="default" w:ascii="Times New Roman" w:hAnsi="Times New Roman" w:cs="Times New Roman"/>
          <w:highlight w:val="none"/>
          <w:lang w:val="en-US" w:eastAsia="zh-CN"/>
        </w:rPr>
        <w:t>皮带秤、电子汽车衡、流量表等</w:t>
      </w:r>
      <w:r>
        <w:rPr>
          <w:rFonts w:hint="default" w:ascii="Times New Roman" w:hAnsi="Times New Roman" w:cs="Times New Roman"/>
          <w:highlight w:val="none"/>
        </w:rPr>
        <w:t>计量数据来确定化石燃料的消耗量。皮带秤、电子汽车衡、</w:t>
      </w:r>
      <w:r>
        <w:rPr>
          <w:rFonts w:hint="default" w:ascii="Times New Roman" w:hAnsi="Times New Roman" w:cs="Times New Roman"/>
          <w:highlight w:val="none"/>
          <w:lang w:val="en-US" w:eastAsia="zh-CN"/>
        </w:rPr>
        <w:t>流量表</w:t>
      </w:r>
      <w:r>
        <w:rPr>
          <w:rFonts w:hint="default" w:ascii="Times New Roman" w:hAnsi="Times New Roman" w:cs="Times New Roman"/>
          <w:highlight w:val="none"/>
        </w:rPr>
        <w:t xml:space="preserve">等计量器具的准确度等级应符合GB/T 35461或相关计量检定规程的要求。计量器具应确保在有效的检定/校准周期内，由有资质的机构至少每年进行检定/校准，并符合JJG </w:t>
      </w:r>
      <w:r>
        <w:rPr>
          <w:rFonts w:hint="default" w:ascii="Times New Roman" w:hAnsi="Times New Roman" w:cs="Times New Roman"/>
          <w:highlight w:val="none"/>
          <w:lang w:val="en-US" w:eastAsia="zh-CN"/>
        </w:rPr>
        <w:t>195</w:t>
      </w:r>
      <w:r>
        <w:rPr>
          <w:rFonts w:hint="default" w:ascii="Times New Roman" w:hAnsi="Times New Roman" w:cs="Times New Roman"/>
          <w:highlight w:val="none"/>
        </w:rPr>
        <w:t>、JJG 1118等规程的要求。</w:t>
      </w:r>
    </w:p>
    <w:p>
      <w:pPr>
        <w:pStyle w:val="94"/>
        <w:spacing w:before="156" w:after="156"/>
        <w:rPr>
          <w:rFonts w:hint="eastAsia" w:ascii="Times New Roman"/>
          <w:highlight w:val="none"/>
          <w:lang w:val="en-US" w:eastAsia="zh-CN"/>
        </w:rPr>
      </w:pPr>
      <w:r>
        <w:rPr>
          <w:rFonts w:hint="eastAsia" w:ascii="Times New Roman"/>
          <w:highlight w:val="none"/>
          <w:lang w:val="en-US" w:eastAsia="zh-CN"/>
        </w:rPr>
        <w:t>低位发热量</w:t>
      </w:r>
    </w:p>
    <w:p>
      <w:pPr>
        <w:pStyle w:val="56"/>
        <w:ind w:firstLine="420"/>
        <w:rPr>
          <w:rFonts w:ascii="Times New Roman"/>
          <w:highlight w:val="none"/>
        </w:rPr>
      </w:pPr>
      <w:r>
        <w:rPr>
          <w:rFonts w:ascii="Times New Roman"/>
          <w:highlight w:val="none"/>
        </w:rPr>
        <w:t>具备条件的企业宜开展实测，或委托专业机构进行检测，也可采用与相关方结算凭证中提供的实测值。如采用实测，化石燃料低位发热量检测应遵循GB/T 213、GB/T 384、GB/T 11062等相关规定准。不具备条件企业可采用</w:t>
      </w:r>
      <w:r>
        <w:rPr>
          <w:rFonts w:hint="eastAsia" w:ascii="Times New Roman"/>
          <w:highlight w:val="none"/>
          <w:lang w:val="en-US" w:eastAsia="zh-CN"/>
        </w:rPr>
        <w:t>表B.1中</w:t>
      </w:r>
      <w:r>
        <w:rPr>
          <w:rFonts w:ascii="Times New Roman"/>
          <w:highlight w:val="none"/>
        </w:rPr>
        <w:t>的化石燃料平均低位发热量缺省值。</w:t>
      </w:r>
    </w:p>
    <w:bookmarkEnd w:id="104"/>
    <w:bookmarkEnd w:id="105"/>
    <w:bookmarkEnd w:id="106"/>
    <w:bookmarkEnd w:id="107"/>
    <w:bookmarkEnd w:id="108"/>
    <w:p>
      <w:pPr>
        <w:pStyle w:val="94"/>
        <w:spacing w:before="156" w:after="156"/>
        <w:rPr>
          <w:rFonts w:ascii="Times New Roman"/>
          <w:highlight w:val="none"/>
        </w:rPr>
      </w:pPr>
      <w:r>
        <w:rPr>
          <w:rFonts w:hint="eastAsia" w:ascii="Times New Roman"/>
          <w:highlight w:val="none"/>
          <w:lang w:val="en-US" w:eastAsia="zh-CN"/>
        </w:rPr>
        <w:t>单位热值含碳量和碳氧化率</w:t>
      </w:r>
    </w:p>
    <w:p>
      <w:pPr>
        <w:pStyle w:val="56"/>
        <w:ind w:firstLine="420"/>
        <w:rPr>
          <w:rFonts w:ascii="Times New Roman"/>
          <w:highlight w:val="none"/>
        </w:rPr>
      </w:pPr>
      <w:r>
        <w:rPr>
          <w:rFonts w:ascii="Times New Roman"/>
          <w:highlight w:val="none"/>
        </w:rPr>
        <w:t>企业可采用表B.1中的单位热值含碳量和碳氧化率缺省值。</w:t>
      </w:r>
    </w:p>
    <w:p>
      <w:pPr>
        <w:pStyle w:val="105"/>
        <w:spacing w:before="156" w:after="156"/>
        <w:rPr>
          <w:rFonts w:hint="eastAsia" w:ascii="Times New Roman"/>
          <w:highlight w:val="none"/>
        </w:rPr>
      </w:pPr>
      <w:bookmarkStart w:id="109" w:name="_Toc128508370"/>
      <w:bookmarkStart w:id="110" w:name="_Toc128585859"/>
      <w:bookmarkStart w:id="111" w:name="_Toc128508454"/>
      <w:bookmarkStart w:id="112" w:name="_Toc128508302"/>
      <w:bookmarkStart w:id="113" w:name="_Toc21476"/>
      <w:r>
        <w:rPr>
          <w:rFonts w:hint="eastAsia" w:ascii="Times New Roman"/>
          <w:highlight w:val="none"/>
        </w:rPr>
        <w:t>净购入使用电力产生的排放</w:t>
      </w:r>
      <w:bookmarkEnd w:id="109"/>
      <w:bookmarkEnd w:id="110"/>
      <w:bookmarkEnd w:id="111"/>
      <w:bookmarkEnd w:id="112"/>
      <w:bookmarkEnd w:id="113"/>
    </w:p>
    <w:p>
      <w:pPr>
        <w:pStyle w:val="65"/>
        <w:spacing w:before="156" w:after="156"/>
        <w:rPr>
          <w:rFonts w:hint="eastAsia" w:ascii="Times New Roman"/>
          <w:highlight w:val="none"/>
        </w:rPr>
      </w:pPr>
      <w:r>
        <w:rPr>
          <w:rFonts w:hint="eastAsia" w:ascii="Times New Roman"/>
          <w:highlight w:val="none"/>
        </w:rPr>
        <w:t>计算公式</w:t>
      </w:r>
    </w:p>
    <w:p>
      <w:pPr>
        <w:pStyle w:val="56"/>
        <w:ind w:firstLine="420"/>
        <w:rPr>
          <w:rFonts w:ascii="Times New Roman"/>
          <w:highlight w:val="none"/>
        </w:rPr>
      </w:pPr>
      <w:r>
        <w:rPr>
          <w:rFonts w:ascii="Times New Roman"/>
          <w:highlight w:val="none"/>
        </w:rPr>
        <w:t>企业</w:t>
      </w:r>
      <w:r>
        <w:rPr>
          <w:rFonts w:hint="eastAsia" w:ascii="Times New Roman"/>
          <w:highlight w:val="none"/>
        </w:rPr>
        <w:t>净购入使用电力产生的</w:t>
      </w:r>
      <w:r>
        <w:rPr>
          <w:rFonts w:ascii="Times New Roman"/>
          <w:highlight w:val="none"/>
        </w:rPr>
        <w:t>二氧化碳排放量按</w:t>
      </w:r>
      <w:r>
        <w:rPr>
          <w:rFonts w:hint="eastAsia" w:ascii="Times New Roman"/>
          <w:highlight w:val="none"/>
          <w:lang w:eastAsia="zh-CN"/>
        </w:rPr>
        <w:t>公式（</w:t>
      </w:r>
      <w:r>
        <w:rPr>
          <w:rFonts w:hint="eastAsia" w:ascii="Times New Roman"/>
          <w:highlight w:val="none"/>
          <w:lang w:val="en-US" w:eastAsia="zh-CN"/>
        </w:rPr>
        <w:t>4</w:t>
      </w:r>
      <w:r>
        <w:rPr>
          <w:rFonts w:ascii="Times New Roman"/>
          <w:highlight w:val="none"/>
        </w:rPr>
        <w:t>）计算</w:t>
      </w:r>
      <w:r>
        <w:rPr>
          <w:rFonts w:hint="eastAsia" w:ascii="Times New Roman"/>
          <w:highlight w:val="none"/>
        </w:rPr>
        <w:t>：</w:t>
      </w:r>
    </w:p>
    <w:p>
      <w:pPr>
        <w:pStyle w:val="113"/>
        <w:rPr>
          <w:rFonts w:ascii="Times New Roman" w:hAnsi="Times New Roman"/>
          <w:highlight w:val="none"/>
        </w:rPr>
      </w:pPr>
      <w:r>
        <w:rPr>
          <w:rFonts w:ascii="Times New Roman" w:hAnsi="Times New Roman"/>
          <w:highlight w:val="none"/>
        </w:rPr>
        <w:tab/>
      </w:r>
      <m:oMath>
        <m:sSub>
          <m:sSubPr>
            <m:ctrlPr>
              <w:rPr>
                <w:rFonts w:ascii="Cambria Math" w:hAnsi="Cambria Math"/>
                <w:i/>
                <w:highlight w:val="none"/>
              </w:rPr>
            </m:ctrlPr>
          </m:sSubPr>
          <m:e>
            <m:r>
              <m:rPr/>
              <w:rPr>
                <w:rFonts w:ascii="Cambria Math" w:hAnsi="Cambria Math"/>
                <w:highlight w:val="none"/>
              </w:rPr>
              <m:t>E</m:t>
            </m:r>
            <m:ctrlPr>
              <w:rPr>
                <w:rFonts w:ascii="Cambria Math" w:hAnsi="Cambria Math"/>
                <w:i/>
                <w:highlight w:val="none"/>
              </w:rPr>
            </m:ctrlPr>
          </m:e>
          <m:sub>
            <m:r>
              <m:rPr/>
              <w:rPr>
                <w:rFonts w:ascii="Cambria Math" w:hAnsi="Cambria Math"/>
                <w:highlight w:val="none"/>
              </w:rPr>
              <m:t>电</m:t>
            </m:r>
            <m:ctrlPr>
              <w:rPr>
                <w:rFonts w:ascii="Cambria Math" w:hAnsi="Cambria Math"/>
                <w:i/>
                <w:highlight w:val="none"/>
              </w:rPr>
            </m:ctrlPr>
          </m:sub>
        </m:sSub>
        <m:r>
          <m:rPr/>
          <w:rPr>
            <w:rFonts w:ascii="Cambria Math" w:hAnsi="Cambria Math"/>
            <w:highlight w:val="none"/>
          </w:rPr>
          <m:t>=</m:t>
        </m:r>
        <m:d>
          <m:dPr>
            <m:ctrlPr>
              <w:rPr>
                <w:rFonts w:ascii="Cambria Math" w:hAnsi="Cambria Math"/>
                <w:i/>
                <w:iCs/>
                <w:highlight w:val="none"/>
              </w:rPr>
            </m:ctrlPr>
          </m:dPr>
          <m:e>
            <m:r>
              <m:rPr/>
              <w:rPr>
                <w:rFonts w:ascii="Cambria Math" w:hAnsi="Cambria Math"/>
                <w:highlight w:val="none"/>
              </w:rPr>
              <m:t>A</m:t>
            </m:r>
            <m:sSub>
              <m:sSubPr>
                <m:ctrlPr>
                  <w:rPr>
                    <w:rFonts w:ascii="Cambria Math" w:hAnsi="Cambria Math"/>
                    <w:i/>
                    <w:iCs/>
                    <w:highlight w:val="none"/>
                  </w:rPr>
                </m:ctrlPr>
              </m:sSubPr>
              <m:e>
                <m:r>
                  <m:rPr/>
                  <w:rPr>
                    <w:rFonts w:ascii="Cambria Math" w:hAnsi="Cambria Math"/>
                    <w:highlight w:val="none"/>
                  </w:rPr>
                  <m:t>D</m:t>
                </m:r>
                <m:ctrlPr>
                  <w:rPr>
                    <w:rFonts w:ascii="Cambria Math" w:hAnsi="Cambria Math"/>
                    <w:i/>
                    <w:iCs/>
                    <w:highlight w:val="none"/>
                  </w:rPr>
                </m:ctrlPr>
              </m:e>
              <m:sub>
                <m:r>
                  <m:rPr/>
                  <w:rPr>
                    <w:rFonts w:hint="eastAsia" w:ascii="Cambria Math" w:hAnsi="Cambria Math" w:cs="宋体"/>
                    <w:highlight w:val="none"/>
                  </w:rPr>
                  <m:t>购入电</m:t>
                </m:r>
                <m:ctrlPr>
                  <w:rPr>
                    <w:rFonts w:ascii="Cambria Math" w:hAnsi="Cambria Math"/>
                    <w:i/>
                    <w:iCs/>
                    <w:highlight w:val="none"/>
                  </w:rPr>
                </m:ctrlPr>
              </m:sub>
            </m:sSub>
            <m:r>
              <m:rPr/>
              <w:rPr>
                <w:rFonts w:ascii="Cambria Math" w:hAnsi="Cambria Math"/>
                <w:highlight w:val="none"/>
              </w:rPr>
              <m:t>−A</m:t>
            </m:r>
            <m:sSub>
              <m:sSubPr>
                <m:ctrlPr>
                  <w:rPr>
                    <w:rFonts w:hint="eastAsia" w:ascii="Cambria Math" w:hAnsi="Cambria Math"/>
                    <w:i/>
                    <w:iCs/>
                    <w:highlight w:val="none"/>
                  </w:rPr>
                </m:ctrlPr>
              </m:sSubPr>
              <m:e>
                <m:r>
                  <m:rPr/>
                  <w:rPr>
                    <w:rFonts w:ascii="Cambria Math" w:hAnsi="Cambria Math"/>
                    <w:highlight w:val="none"/>
                  </w:rPr>
                  <m:t>D</m:t>
                </m:r>
                <m:ctrlPr>
                  <w:rPr>
                    <w:rFonts w:hint="eastAsia" w:ascii="Cambria Math" w:hAnsi="Cambria Math"/>
                    <w:i/>
                    <w:iCs/>
                    <w:highlight w:val="none"/>
                  </w:rPr>
                </m:ctrlPr>
              </m:e>
              <m:sub>
                <m:r>
                  <m:rPr/>
                  <w:rPr>
                    <w:rFonts w:hint="eastAsia" w:ascii="Cambria Math" w:hAnsi="Cambria Math"/>
                    <w:highlight w:val="none"/>
                  </w:rPr>
                  <m:t>购入电网非化石电</m:t>
                </m:r>
                <m:ctrlPr>
                  <w:rPr>
                    <w:rFonts w:hint="eastAsia" w:ascii="Cambria Math" w:hAnsi="Cambria Math"/>
                    <w:i/>
                    <w:iCs/>
                    <w:highlight w:val="none"/>
                  </w:rPr>
                </m:ctrlPr>
              </m:sub>
            </m:sSub>
            <m:ctrlPr>
              <w:rPr>
                <w:rFonts w:ascii="Cambria Math" w:hAnsi="Cambria Math"/>
                <w:i/>
                <w:iCs/>
                <w:highlight w:val="none"/>
              </w:rPr>
            </m:ctrlPr>
          </m:e>
        </m:d>
        <m:r>
          <m:rPr/>
          <w:rPr>
            <w:rFonts w:ascii="Cambria Math" w:hAnsi="Cambria Math"/>
            <w:highlight w:val="none"/>
          </w:rPr>
          <m: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w:rPr>
                <w:rFonts w:ascii="Cambria Math" w:hAnsi="Cambria Math"/>
                <w:highlight w:val="none"/>
              </w:rPr>
              <m:t>电</m:t>
            </m:r>
            <m:ctrlPr>
              <w:rPr>
                <w:rFonts w:ascii="Cambria Math" w:hAnsi="Cambria Math"/>
                <w:i/>
                <w:highlight w:val="none"/>
              </w:rPr>
            </m:ctrlPr>
          </m:sub>
        </m:sSub>
      </m:oMath>
      <w:r>
        <w:rPr>
          <w:rFonts w:ascii="Times New Roman" w:hAnsi="Times New Roman" w:eastAsia="微软雅黑"/>
          <w:highlight w:val="none"/>
        </w:rPr>
        <w:tab/>
      </w:r>
      <w:r>
        <w:rPr>
          <w:rFonts w:hint="eastAsia" w:ascii="Times New Roman" w:hAnsi="Times New Roman"/>
          <w:highlight w:val="none"/>
        </w:rPr>
        <w:t>（</w:t>
      </w:r>
      <w:r>
        <w:rPr>
          <w:rFonts w:hint="eastAsia" w:ascii="Times New Roman" w:hAnsi="Times New Roman"/>
          <w:highlight w:val="none"/>
          <w:lang w:val="en-US" w:eastAsia="zh-CN"/>
        </w:rPr>
        <w:t>4</w:t>
      </w:r>
      <w:r>
        <w:rPr>
          <w:rFonts w:hint="eastAsia" w:ascii="Times New Roman" w:hAnsi="Times New Roman"/>
          <w:highlight w:val="none"/>
        </w:rPr>
        <w:t>）</w:t>
      </w:r>
    </w:p>
    <w:p>
      <w:pPr>
        <w:pStyle w:val="55"/>
        <w:ind w:firstLine="420"/>
        <w:rPr>
          <w:rFonts w:ascii="Times New Roman" w:hAnsi="Times New Roman"/>
          <w:highlight w:val="none"/>
        </w:rPr>
      </w:pPr>
      <w:r>
        <w:rPr>
          <w:rFonts w:ascii="Times New Roman" w:hAnsi="Times New Roman"/>
          <w:highlight w:val="none"/>
        </w:rPr>
        <w:t>式中：</w:t>
      </w:r>
    </w:p>
    <w:tbl>
      <w:tblPr>
        <w:tblStyle w:val="27"/>
        <w:tblW w:w="9127"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44"/>
        <w:gridCol w:w="340"/>
        <w:gridCol w:w="71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vAlign w:val="top"/>
          </w:tcPr>
          <w:p>
            <w:pPr>
              <w:pStyle w:val="56"/>
              <w:adjustRightInd w:val="0"/>
              <w:snapToGrid w:val="0"/>
              <w:ind w:firstLine="0" w:firstLineChars="0"/>
              <w:rPr>
                <w:rFonts w:hint="eastAsia" w:ascii="Cambria Math" w:hAnsi="Cambria Math"/>
                <w:i/>
                <w:highlight w:val="none"/>
                <w:oMath/>
              </w:rPr>
            </w:pPr>
            <m:oMathPara>
              <m:oMathParaPr>
                <m:jc m:val="left"/>
              </m:oMathParaPr>
              <m:oMath>
                <m:sSub>
                  <m:sSubPr>
                    <m:ctrlPr>
                      <w:rPr>
                        <w:rFonts w:ascii="Cambria Math" w:hAnsi="Cambria Math"/>
                        <w:i/>
                        <w:iCs/>
                        <w:highlight w:val="none"/>
                      </w:rPr>
                    </m:ctrlPr>
                  </m:sSubPr>
                  <m:e>
                    <m:r>
                      <m:rPr/>
                      <w:rPr>
                        <w:rFonts w:ascii="Cambria Math" w:hAnsi="Cambria Math"/>
                        <w:highlight w:val="none"/>
                      </w:rPr>
                      <m:t>E</m:t>
                    </m:r>
                    <m:ctrlPr>
                      <w:rPr>
                        <w:rFonts w:ascii="Cambria Math" w:hAnsi="Cambria Math"/>
                        <w:i/>
                        <w:iCs/>
                        <w:highlight w:val="none"/>
                      </w:rPr>
                    </m:ctrlPr>
                  </m:e>
                  <m:sub>
                    <m:r>
                      <m:rPr/>
                      <w:rPr>
                        <w:rFonts w:ascii="Cambria Math" w:hAnsi="Cambria Math"/>
                        <w:highlight w:val="none"/>
                      </w:rPr>
                      <m:t>电</m:t>
                    </m:r>
                    <m:ctrlPr>
                      <w:rPr>
                        <w:rFonts w:ascii="Cambria Math" w:hAnsi="Cambria Math"/>
                        <w:i/>
                        <w:iCs/>
                        <w:highlight w:val="none"/>
                      </w:rPr>
                    </m:ctrlPr>
                  </m:sub>
                </m:sSub>
              </m:oMath>
            </m:oMathPara>
          </w:p>
        </w:tc>
        <w:tc>
          <w:tcPr>
            <w:tcW w:w="340" w:type="dxa"/>
            <w:vAlign w:val="top"/>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143" w:type="dxa"/>
            <w:vAlign w:val="top"/>
          </w:tcPr>
          <w:p>
            <w:pPr>
              <w:pStyle w:val="56"/>
              <w:adjustRightInd w:val="0"/>
              <w:snapToGrid w:val="0"/>
              <w:ind w:left="-105" w:leftChars="-50" w:firstLine="0" w:firstLineChars="0"/>
              <w:rPr>
                <w:rFonts w:ascii="Times New Roman"/>
                <w:highlight w:val="none"/>
              </w:rPr>
            </w:pPr>
            <w:r>
              <w:rPr>
                <w:rFonts w:hint="eastAsia" w:ascii="Times New Roman"/>
                <w:highlight w:val="none"/>
              </w:rPr>
              <w:t>企业净</w:t>
            </w:r>
            <w:r>
              <w:rPr>
                <w:rFonts w:ascii="Times New Roman"/>
                <w:highlight w:val="none"/>
              </w:rPr>
              <w:t>购入电力产生的二氧化碳排放量，</w:t>
            </w:r>
            <w:r>
              <w:rPr>
                <w:rFonts w:hint="eastAsia" w:ascii="Times New Roman"/>
                <w:highlight w:val="none"/>
              </w:rPr>
              <w:t>以</w:t>
            </w:r>
            <w:r>
              <w:rPr>
                <w:rFonts w:ascii="Times New Roman"/>
                <w:highlight w:val="none"/>
              </w:rPr>
              <w:t>吨二氧化碳（tCO</w:t>
            </w:r>
            <w:r>
              <w:rPr>
                <w:rFonts w:ascii="Times New Roman"/>
                <w:highlight w:val="none"/>
                <w:vertAlign w:val="subscript"/>
              </w:rPr>
              <w:t>2</w:t>
            </w:r>
            <w:r>
              <w:rPr>
                <w:rFonts w:ascii="Times New Roman"/>
                <w:highlight w:val="none"/>
              </w:rPr>
              <w:t>）</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vAlign w:val="top"/>
          </w:tcPr>
          <w:p>
            <w:pPr>
              <w:pStyle w:val="56"/>
              <w:adjustRightInd w:val="0"/>
              <w:snapToGrid w:val="0"/>
              <w:ind w:firstLine="0" w:firstLineChars="0"/>
              <w:rPr>
                <w:rFonts w:ascii="Times New Roman"/>
                <w:i/>
                <w:iCs/>
                <w:highlight w:val="none"/>
              </w:rPr>
            </w:pPr>
            <m:oMathPara>
              <m:oMathParaPr>
                <m:jc m:val="left"/>
              </m:oMathParaPr>
              <m:oMath>
                <m:r>
                  <m:rPr/>
                  <w:rPr>
                    <w:rFonts w:ascii="Cambria Math" w:hAnsi="Cambria Math"/>
                    <w:highlight w:val="none"/>
                  </w:rPr>
                  <m:t>A</m:t>
                </m:r>
                <m:sSub>
                  <m:sSubPr>
                    <m:ctrlPr>
                      <w:rPr>
                        <w:rFonts w:ascii="Cambria Math" w:hAnsi="Cambria Math"/>
                        <w:i/>
                        <w:iCs/>
                        <w:szCs w:val="21"/>
                        <w:highlight w:val="none"/>
                      </w:rPr>
                    </m:ctrlPr>
                  </m:sSubPr>
                  <m:e>
                    <m:r>
                      <m:rPr/>
                      <w:rPr>
                        <w:rFonts w:ascii="Cambria Math" w:hAnsi="Cambria Math"/>
                        <w:highlight w:val="none"/>
                      </w:rPr>
                      <m:t>D</m:t>
                    </m:r>
                    <m:ctrlPr>
                      <w:rPr>
                        <w:rFonts w:ascii="Cambria Math" w:hAnsi="Cambria Math"/>
                        <w:i/>
                        <w:iCs/>
                        <w:szCs w:val="21"/>
                        <w:highlight w:val="none"/>
                      </w:rPr>
                    </m:ctrlPr>
                  </m:e>
                  <m:sub>
                    <m:r>
                      <m:rPr/>
                      <w:rPr>
                        <w:rFonts w:ascii="Cambria Math" w:hAnsi="Cambria Math"/>
                        <w:highlight w:val="none"/>
                      </w:rPr>
                      <m:t>购入电</m:t>
                    </m:r>
                    <m:ctrlPr>
                      <w:rPr>
                        <w:rFonts w:ascii="Cambria Math" w:hAnsi="Cambria Math"/>
                        <w:i/>
                        <w:iCs/>
                        <w:szCs w:val="21"/>
                        <w:highlight w:val="none"/>
                      </w:rPr>
                    </m:ctrlPr>
                  </m:sub>
                </m:sSub>
              </m:oMath>
            </m:oMathPara>
          </w:p>
        </w:tc>
        <w:tc>
          <w:tcPr>
            <w:tcW w:w="340" w:type="dxa"/>
            <w:vAlign w:val="top"/>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143" w:type="dxa"/>
            <w:vAlign w:val="top"/>
          </w:tcPr>
          <w:p>
            <w:pPr>
              <w:pStyle w:val="56"/>
              <w:adjustRightInd w:val="0"/>
              <w:snapToGrid w:val="0"/>
              <w:ind w:left="-105" w:leftChars="-50" w:firstLine="0" w:firstLineChars="0"/>
              <w:rPr>
                <w:rFonts w:ascii="Times New Roman"/>
                <w:highlight w:val="none"/>
              </w:rPr>
            </w:pPr>
            <w:r>
              <w:rPr>
                <w:rFonts w:ascii="Times New Roman"/>
                <w:highlight w:val="none"/>
              </w:rPr>
              <w:t>核算和报告期内购入的总电量，包括购入的电网电量和购入的未并入市政电网的化石能源电量和非化石能源电量，以兆瓦时（MWh）计；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vAlign w:val="top"/>
          </w:tcPr>
          <w:p>
            <w:pPr>
              <w:pStyle w:val="56"/>
              <w:adjustRightInd w:val="0"/>
              <w:snapToGrid w:val="0"/>
              <w:ind w:firstLine="0" w:firstLineChars="0"/>
              <w:rPr>
                <w:rFonts w:ascii="Cambria Math" w:hAnsi="Cambria Math" w:eastAsia="仿宋_GB2312"/>
                <w:i/>
                <w:highlight w:val="none"/>
                <w:oMath/>
              </w:rPr>
            </w:pPr>
            <m:oMathPara>
              <m:oMathParaPr>
                <m:jc m:val="left"/>
              </m:oMathParaPr>
              <m:oMath>
                <m:r>
                  <m:rPr/>
                  <w:rPr>
                    <w:rFonts w:ascii="Cambria Math" w:hAnsi="Cambria Math"/>
                    <w:highlight w:val="none"/>
                  </w:rPr>
                  <m:t>A</m:t>
                </m:r>
                <m:sSub>
                  <m:sSubPr>
                    <m:ctrlPr>
                      <w:rPr>
                        <w:rFonts w:ascii="Cambria Math" w:hAnsi="Cambria Math"/>
                        <w:i/>
                        <w:iCs/>
                        <w:highlight w:val="none"/>
                      </w:rPr>
                    </m:ctrlPr>
                  </m:sSubPr>
                  <m:e>
                    <m:r>
                      <m:rPr/>
                      <w:rPr>
                        <w:rFonts w:ascii="Cambria Math" w:hAnsi="Cambria Math"/>
                        <w:highlight w:val="none"/>
                      </w:rPr>
                      <m:t>D</m:t>
                    </m:r>
                    <m:ctrlPr>
                      <w:rPr>
                        <w:rFonts w:ascii="Cambria Math" w:hAnsi="Cambria Math"/>
                        <w:i/>
                        <w:iCs/>
                        <w:highlight w:val="none"/>
                      </w:rPr>
                    </m:ctrlPr>
                  </m:e>
                  <m:sub>
                    <m:r>
                      <m:rPr/>
                      <w:rPr>
                        <w:rFonts w:ascii="Cambria Math" w:hAnsi="Cambria Math"/>
                        <w:highlight w:val="none"/>
                      </w:rPr>
                      <m:t>购入电网非化石电</m:t>
                    </m:r>
                    <m:ctrlPr>
                      <w:rPr>
                        <w:rFonts w:ascii="Cambria Math" w:hAnsi="Cambria Math"/>
                        <w:i/>
                        <w:iCs/>
                        <w:highlight w:val="none"/>
                      </w:rPr>
                    </m:ctrlPr>
                  </m:sub>
                </m:sSub>
              </m:oMath>
            </m:oMathPara>
          </w:p>
        </w:tc>
        <w:tc>
          <w:tcPr>
            <w:tcW w:w="340" w:type="dxa"/>
            <w:vAlign w:val="top"/>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143" w:type="dxa"/>
            <w:vAlign w:val="top"/>
          </w:tcPr>
          <w:p>
            <w:pPr>
              <w:pStyle w:val="56"/>
              <w:adjustRightInd w:val="0"/>
              <w:snapToGrid w:val="0"/>
              <w:ind w:left="-105" w:leftChars="-50" w:firstLine="0" w:firstLineChars="0"/>
              <w:rPr>
                <w:rFonts w:ascii="Times New Roman"/>
                <w:highlight w:val="none"/>
              </w:rPr>
            </w:pPr>
            <w:r>
              <w:rPr>
                <w:rFonts w:ascii="Times New Roman"/>
                <w:highlight w:val="none"/>
              </w:rPr>
              <w:t>核算和报告期内通过市场化交易购入使用的非化石能源电力消费量，</w:t>
            </w:r>
            <w:r>
              <w:rPr>
                <w:rFonts w:ascii="Times New Roman"/>
                <w:szCs w:val="21"/>
                <w:highlight w:val="none"/>
              </w:rPr>
              <w:t>以兆瓦时（MW∙h）计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644" w:type="dxa"/>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eastAsia="仿宋_GB2312"/>
                    <w:highlight w:val="none"/>
                  </w:rPr>
                  <m:t>E</m:t>
                </m:r>
                <m:sSub>
                  <m:sSubPr>
                    <m:ctrlPr>
                      <w:rPr>
                        <w:rFonts w:ascii="Cambria Math" w:hAnsi="Cambria Math" w:eastAsia="仿宋_GB2312"/>
                        <w:i/>
                        <w:highlight w:val="none"/>
                      </w:rPr>
                    </m:ctrlPr>
                  </m:sSubPr>
                  <m:e>
                    <m:r>
                      <m:rPr/>
                      <w:rPr>
                        <w:rFonts w:ascii="Cambria Math" w:hAnsi="Cambria Math" w:eastAsia="仿宋_GB2312"/>
                        <w:highlight w:val="none"/>
                      </w:rPr>
                      <m:t>F</m:t>
                    </m:r>
                    <m:ctrlPr>
                      <w:rPr>
                        <w:rFonts w:ascii="Cambria Math" w:hAnsi="Cambria Math" w:eastAsia="仿宋_GB2312"/>
                        <w:i/>
                        <w:highlight w:val="none"/>
                      </w:rPr>
                    </m:ctrlPr>
                  </m:e>
                  <m:sub>
                    <m:r>
                      <m:rPr/>
                      <w:rPr>
                        <w:rFonts w:ascii="Cambria Math" w:hAnsi="Cambria Math"/>
                        <w:highlight w:val="none"/>
                      </w:rPr>
                      <m:t>电</m:t>
                    </m:r>
                    <m:ctrlPr>
                      <w:rPr>
                        <w:rFonts w:ascii="Cambria Math" w:hAnsi="Cambria Math" w:eastAsia="仿宋_GB2312"/>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143" w:type="dxa"/>
          </w:tcPr>
          <w:p>
            <w:pPr>
              <w:pStyle w:val="56"/>
              <w:adjustRightInd w:val="0"/>
              <w:snapToGrid w:val="0"/>
              <w:ind w:left="-105" w:leftChars="-50" w:firstLine="0" w:firstLineChars="0"/>
              <w:rPr>
                <w:rFonts w:ascii="Times New Roman"/>
                <w:highlight w:val="none"/>
              </w:rPr>
            </w:pPr>
            <w:r>
              <w:rPr>
                <w:rFonts w:ascii="Times New Roman"/>
                <w:highlight w:val="none"/>
              </w:rPr>
              <w:t>电力的二氧化碳排放因子，</w:t>
            </w:r>
            <w:r>
              <w:rPr>
                <w:rFonts w:hint="eastAsia" w:ascii="Times New Roman"/>
                <w:highlight w:val="none"/>
              </w:rPr>
              <w:t>以</w:t>
            </w:r>
            <w:r>
              <w:rPr>
                <w:rFonts w:ascii="Times New Roman"/>
                <w:highlight w:val="none"/>
              </w:rPr>
              <w:t>吨二氧化碳每兆瓦时（tCO</w:t>
            </w:r>
            <w:r>
              <w:rPr>
                <w:rFonts w:ascii="Times New Roman"/>
                <w:highlight w:val="none"/>
                <w:vertAlign w:val="subscript"/>
              </w:rPr>
              <w:t>2</w:t>
            </w:r>
            <w:r>
              <w:rPr>
                <w:rFonts w:ascii="Times New Roman"/>
                <w:highlight w:val="none"/>
              </w:rPr>
              <w:t>/MWh）</w:t>
            </w:r>
            <w:r>
              <w:rPr>
                <w:rFonts w:hint="eastAsia" w:ascii="Times New Roman"/>
                <w:highlight w:val="none"/>
              </w:rPr>
              <w:t>计</w:t>
            </w:r>
            <w:r>
              <w:rPr>
                <w:rFonts w:ascii="Times New Roman"/>
                <w:highlight w:val="none"/>
              </w:rPr>
              <w:t>。</w:t>
            </w:r>
          </w:p>
        </w:tc>
      </w:tr>
    </w:tbl>
    <w:p>
      <w:pPr>
        <w:pStyle w:val="65"/>
        <w:spacing w:before="156" w:after="156"/>
        <w:rPr>
          <w:rFonts w:hint="eastAsia" w:ascii="Times New Roman"/>
          <w:highlight w:val="none"/>
        </w:rPr>
      </w:pPr>
      <w:r>
        <w:rPr>
          <w:rFonts w:hint="eastAsia" w:ascii="Times New Roman"/>
          <w:highlight w:val="none"/>
        </w:rPr>
        <w:t>数据</w:t>
      </w:r>
      <w:r>
        <w:rPr>
          <w:rFonts w:hint="eastAsia" w:ascii="Times New Roman"/>
          <w:highlight w:val="none"/>
          <w:lang w:val="en-US" w:eastAsia="zh-CN"/>
        </w:rPr>
        <w:t>的监测与获取</w:t>
      </w:r>
    </w:p>
    <w:p>
      <w:pPr>
        <w:pStyle w:val="94"/>
        <w:spacing w:before="156" w:after="156"/>
        <w:rPr>
          <w:rFonts w:hint="eastAsia" w:ascii="Times New Roman"/>
          <w:highlight w:val="none"/>
          <w:lang w:val="en-US" w:eastAsia="zh-CN"/>
        </w:rPr>
      </w:pPr>
      <w:r>
        <w:rPr>
          <w:rFonts w:hint="eastAsia" w:ascii="Times New Roman"/>
          <w:highlight w:val="none"/>
          <w:lang w:val="en-US" w:eastAsia="zh-CN"/>
        </w:rPr>
        <w:t>购入电量</w:t>
      </w:r>
    </w:p>
    <w:p>
      <w:pPr>
        <w:pStyle w:val="56"/>
        <w:ind w:firstLine="420"/>
        <w:rPr>
          <w:rFonts w:ascii="Times New Roman"/>
          <w:highlight w:val="none"/>
        </w:rPr>
      </w:pPr>
      <w:r>
        <w:rPr>
          <w:rFonts w:ascii="Times New Roman"/>
          <w:highlight w:val="none"/>
        </w:rPr>
        <w:t>企业应按GB 17167</w:t>
      </w:r>
      <w:r>
        <w:rPr>
          <w:rFonts w:hint="eastAsia" w:ascii="Times New Roman"/>
          <w:highlight w:val="none"/>
        </w:rPr>
        <w:t>和</w:t>
      </w:r>
      <w:r>
        <w:rPr>
          <w:rFonts w:ascii="Times New Roman"/>
          <w:highlight w:val="none"/>
        </w:rPr>
        <w:t>GB/T 24851的要求配备电能表，不同类型的电能表计量要求见表3。</w:t>
      </w:r>
    </w:p>
    <w:p>
      <w:pPr>
        <w:pStyle w:val="112"/>
        <w:spacing w:before="156" w:after="156"/>
        <w:rPr>
          <w:rFonts w:ascii="Times New Roman"/>
          <w:highlight w:val="none"/>
        </w:rPr>
      </w:pPr>
      <w:r>
        <w:rPr>
          <w:rFonts w:ascii="Times New Roman"/>
          <w:highlight w:val="none"/>
        </w:rPr>
        <w:t>电能表计量要求</w:t>
      </w:r>
    </w:p>
    <w:tbl>
      <w:tblPr>
        <w:tblStyle w:val="26"/>
        <w:tblW w:w="48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0"/>
        <w:gridCol w:w="1182"/>
        <w:gridCol w:w="1069"/>
        <w:gridCol w:w="1242"/>
        <w:gridCol w:w="953"/>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vAlign w:val="center"/>
          </w:tcPr>
          <w:p>
            <w:pPr>
              <w:pStyle w:val="229"/>
              <w:ind w:firstLine="0" w:firstLineChars="0"/>
              <w:jc w:val="center"/>
              <w:rPr>
                <w:rFonts w:ascii="Times New Roman"/>
                <w:b/>
                <w:bCs/>
                <w:sz w:val="18"/>
                <w:szCs w:val="18"/>
                <w:highlight w:val="none"/>
              </w:rPr>
            </w:pPr>
            <w:r>
              <w:rPr>
                <w:rFonts w:hint="eastAsia" w:ascii="Times New Roman"/>
                <w:b/>
                <w:bCs/>
                <w:sz w:val="18"/>
                <w:szCs w:val="18"/>
                <w:highlight w:val="none"/>
              </w:rPr>
              <w:t>电能表类型</w:t>
            </w:r>
          </w:p>
        </w:tc>
        <w:tc>
          <w:tcPr>
            <w:tcW w:w="630"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准确度等级</w:t>
            </w:r>
          </w:p>
        </w:tc>
        <w:tc>
          <w:tcPr>
            <w:tcW w:w="570" w:type="pct"/>
            <w:vAlign w:val="center"/>
          </w:tcPr>
          <w:p>
            <w:pPr>
              <w:pStyle w:val="233"/>
              <w:numPr>
                <w:ilvl w:val="0"/>
                <w:numId w:val="0"/>
              </w:numPr>
              <w:spacing w:before="0" w:beforeLines="0" w:after="0" w:afterLines="0"/>
              <w:jc w:val="center"/>
              <w:outlineLvl w:val="9"/>
              <w:rPr>
                <w:rFonts w:ascii="Times New Roman" w:eastAsia="宋体"/>
                <w:b/>
                <w:sz w:val="18"/>
                <w:szCs w:val="18"/>
                <w:highlight w:val="none"/>
              </w:rPr>
            </w:pPr>
            <w:r>
              <w:rPr>
                <w:rFonts w:ascii="Times New Roman" w:eastAsia="宋体"/>
                <w:b/>
                <w:sz w:val="18"/>
                <w:szCs w:val="18"/>
                <w:highlight w:val="none"/>
              </w:rPr>
              <w:t>计量设备</w:t>
            </w:r>
          </w:p>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溯源方式</w:t>
            </w:r>
          </w:p>
        </w:tc>
        <w:tc>
          <w:tcPr>
            <w:tcW w:w="662"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溯源频次</w:t>
            </w:r>
          </w:p>
        </w:tc>
        <w:tc>
          <w:tcPr>
            <w:tcW w:w="508"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计量频次</w:t>
            </w:r>
          </w:p>
        </w:tc>
        <w:tc>
          <w:tcPr>
            <w:tcW w:w="512"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记录频次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用能单位变压器容量≥2000kV·A</w:t>
            </w:r>
          </w:p>
        </w:tc>
        <w:tc>
          <w:tcPr>
            <w:tcW w:w="630" w:type="pct"/>
            <w:vAlign w:val="center"/>
          </w:tcPr>
          <w:p>
            <w:pPr>
              <w:pStyle w:val="233"/>
              <w:numPr>
                <w:ilvl w:val="0"/>
                <w:numId w:val="0"/>
              </w:numPr>
              <w:spacing w:before="0" w:beforeLines="0" w:after="0" w:afterLines="0"/>
              <w:jc w:val="center"/>
              <w:outlineLvl w:val="9"/>
              <w:rPr>
                <w:rFonts w:ascii="Times New Roman" w:eastAsia="宋体"/>
                <w:b/>
                <w:sz w:val="18"/>
                <w:szCs w:val="18"/>
                <w:highlight w:val="none"/>
              </w:rPr>
            </w:pPr>
            <w:r>
              <w:rPr>
                <w:rFonts w:ascii="Times New Roman" w:eastAsia="宋体"/>
                <w:sz w:val="18"/>
                <w:szCs w:val="18"/>
                <w:highlight w:val="none"/>
              </w:rPr>
              <w:t>0.5</w:t>
            </w:r>
          </w:p>
        </w:tc>
        <w:tc>
          <w:tcPr>
            <w:tcW w:w="570"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检定/校准</w:t>
            </w:r>
          </w:p>
        </w:tc>
        <w:tc>
          <w:tcPr>
            <w:tcW w:w="662"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1次/12个月</w:t>
            </w:r>
          </w:p>
        </w:tc>
        <w:tc>
          <w:tcPr>
            <w:tcW w:w="508"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连续</w:t>
            </w:r>
          </w:p>
        </w:tc>
        <w:tc>
          <w:tcPr>
            <w:tcW w:w="512"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pct"/>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315kV·A≤用能单位变压器容量＜2000kV·A</w:t>
            </w:r>
          </w:p>
        </w:tc>
        <w:tc>
          <w:tcPr>
            <w:tcW w:w="630"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1.0</w:t>
            </w:r>
          </w:p>
        </w:tc>
        <w:tc>
          <w:tcPr>
            <w:tcW w:w="570" w:type="pct"/>
            <w:vAlign w:val="center"/>
          </w:tcPr>
          <w:p>
            <w:pPr>
              <w:pStyle w:val="233"/>
              <w:numPr>
                <w:ilvl w:val="0"/>
                <w:numId w:val="0"/>
              </w:numPr>
              <w:spacing w:before="0" w:beforeLines="0" w:after="0" w:afterLines="0"/>
              <w:jc w:val="center"/>
              <w:outlineLvl w:val="9"/>
              <w:rPr>
                <w:rFonts w:ascii="Times New Roman" w:eastAsia="宋体"/>
                <w:b/>
                <w:sz w:val="18"/>
                <w:szCs w:val="18"/>
                <w:highlight w:val="none"/>
              </w:rPr>
            </w:pPr>
            <w:r>
              <w:rPr>
                <w:rFonts w:ascii="Times New Roman" w:eastAsia="宋体"/>
                <w:sz w:val="18"/>
                <w:szCs w:val="18"/>
                <w:highlight w:val="none"/>
              </w:rPr>
              <w:t>检定/校准</w:t>
            </w:r>
          </w:p>
        </w:tc>
        <w:tc>
          <w:tcPr>
            <w:tcW w:w="662" w:type="pct"/>
            <w:vAlign w:val="center"/>
          </w:tcPr>
          <w:p>
            <w:pPr>
              <w:pStyle w:val="233"/>
              <w:numPr>
                <w:ilvl w:val="0"/>
                <w:numId w:val="0"/>
              </w:numPr>
              <w:spacing w:before="0" w:beforeLines="0" w:after="0" w:afterLines="0"/>
              <w:jc w:val="center"/>
              <w:outlineLvl w:val="9"/>
              <w:rPr>
                <w:rFonts w:ascii="Times New Roman" w:eastAsia="宋体"/>
                <w:b/>
                <w:sz w:val="18"/>
                <w:szCs w:val="18"/>
                <w:highlight w:val="none"/>
              </w:rPr>
            </w:pPr>
            <w:r>
              <w:rPr>
                <w:rFonts w:ascii="Times New Roman" w:eastAsia="宋体"/>
                <w:sz w:val="18"/>
                <w:szCs w:val="18"/>
                <w:highlight w:val="none"/>
              </w:rPr>
              <w:t>1次/12个月</w:t>
            </w:r>
          </w:p>
        </w:tc>
        <w:tc>
          <w:tcPr>
            <w:tcW w:w="508"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连续</w:t>
            </w:r>
          </w:p>
        </w:tc>
        <w:tc>
          <w:tcPr>
            <w:tcW w:w="512"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用能单位变压器容量&lt;315kV·A 或单相供电</w:t>
            </w:r>
          </w:p>
        </w:tc>
        <w:tc>
          <w:tcPr>
            <w:tcW w:w="630"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2.0</w:t>
            </w:r>
          </w:p>
        </w:tc>
        <w:tc>
          <w:tcPr>
            <w:tcW w:w="570" w:type="pct"/>
            <w:vAlign w:val="center"/>
          </w:tcPr>
          <w:p>
            <w:pPr>
              <w:pStyle w:val="233"/>
              <w:numPr>
                <w:ilvl w:val="0"/>
                <w:numId w:val="0"/>
              </w:numPr>
              <w:spacing w:before="0" w:beforeLines="0" w:after="0" w:afterLines="0"/>
              <w:jc w:val="center"/>
              <w:outlineLvl w:val="9"/>
              <w:rPr>
                <w:rFonts w:ascii="Times New Roman" w:eastAsia="宋体"/>
                <w:b/>
                <w:sz w:val="18"/>
                <w:szCs w:val="18"/>
                <w:highlight w:val="none"/>
              </w:rPr>
            </w:pPr>
            <w:r>
              <w:rPr>
                <w:rFonts w:ascii="Times New Roman" w:eastAsia="宋体"/>
                <w:sz w:val="18"/>
                <w:szCs w:val="18"/>
                <w:highlight w:val="none"/>
              </w:rPr>
              <w:t>检定/校准</w:t>
            </w:r>
          </w:p>
        </w:tc>
        <w:tc>
          <w:tcPr>
            <w:tcW w:w="662" w:type="pct"/>
            <w:vAlign w:val="center"/>
          </w:tcPr>
          <w:p>
            <w:pPr>
              <w:pStyle w:val="233"/>
              <w:numPr>
                <w:ilvl w:val="0"/>
                <w:numId w:val="0"/>
              </w:numPr>
              <w:spacing w:before="0" w:beforeLines="0" w:after="0" w:afterLines="0"/>
              <w:jc w:val="center"/>
              <w:outlineLvl w:val="9"/>
              <w:rPr>
                <w:rFonts w:ascii="Times New Roman" w:eastAsia="宋体"/>
                <w:b/>
                <w:sz w:val="18"/>
                <w:szCs w:val="18"/>
                <w:highlight w:val="none"/>
              </w:rPr>
            </w:pPr>
            <w:r>
              <w:rPr>
                <w:rFonts w:ascii="Times New Roman" w:eastAsia="宋体"/>
                <w:sz w:val="18"/>
                <w:szCs w:val="18"/>
                <w:highlight w:val="none"/>
              </w:rPr>
              <w:t>1次/12个月</w:t>
            </w:r>
          </w:p>
        </w:tc>
        <w:tc>
          <w:tcPr>
            <w:tcW w:w="508"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连续</w:t>
            </w:r>
          </w:p>
        </w:tc>
        <w:tc>
          <w:tcPr>
            <w:tcW w:w="512" w:type="pct"/>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每月</w:t>
            </w:r>
          </w:p>
        </w:tc>
      </w:tr>
    </w:tbl>
    <w:p>
      <w:pPr>
        <w:pStyle w:val="56"/>
        <w:ind w:firstLine="420"/>
        <w:rPr>
          <w:rFonts w:hint="eastAsia" w:ascii="Times New Roman"/>
          <w:highlight w:val="none"/>
        </w:rPr>
      </w:pPr>
    </w:p>
    <w:p>
      <w:pPr>
        <w:pStyle w:val="56"/>
        <w:ind w:firstLine="420"/>
        <w:rPr>
          <w:rFonts w:ascii="Times New Roman"/>
          <w:highlight w:val="none"/>
        </w:rPr>
      </w:pPr>
      <w:r>
        <w:rPr>
          <w:rFonts w:hint="eastAsia" w:ascii="Times New Roman"/>
          <w:highlight w:val="none"/>
        </w:rPr>
        <w:t>购入电量根据电表记录的读数统计，读数不可获取时采用结算凭证上的数据</w:t>
      </w:r>
      <w:r>
        <w:rPr>
          <w:rFonts w:ascii="Times New Roman"/>
          <w:highlight w:val="none"/>
        </w:rPr>
        <w:t>。</w:t>
      </w:r>
    </w:p>
    <w:p>
      <w:pPr>
        <w:pStyle w:val="56"/>
        <w:ind w:firstLine="420"/>
        <w:rPr>
          <w:rFonts w:ascii="Times New Roman"/>
          <w:highlight w:val="none"/>
        </w:rPr>
      </w:pPr>
      <w:r>
        <w:rPr>
          <w:rFonts w:hint="eastAsia" w:ascii="Times New Roman"/>
          <w:highlight w:val="none"/>
        </w:rPr>
        <w:t>通过市场化交易购入使用的非化石能源电力消费量，是指以交易方式购买并实际执行、结算的电量，应提供发电与用电双方签订的市场化交易合同（对于无法提供合同的，应同时提供交易承诺书、交易公告和交易结果），以及按合同执行的绿色电力证书交易凭证和由省级及以上电力交易机构出具的交易结算凭证。交易结算凭证应载明在核算与报告周期内的月度结算电量及其项目类型、发电企业名称、用电企业名称等。绿色电力证书交易凭证载明的内容应包括项目名称、项目代码、项目类型、项目所在地、电量生产日期等。存量常规水电</w:t>
      </w:r>
      <w:r>
        <w:rPr>
          <w:rFonts w:hint="default" w:ascii="Times New Roman" w:hAnsi="Times New Roman" w:cs="Times New Roman"/>
          <w:highlight w:val="none"/>
          <w:vertAlign w:val="superscript"/>
        </w:rPr>
        <w:t>[</w:t>
      </w:r>
      <w:r>
        <w:rPr>
          <w:rStyle w:val="33"/>
          <w:rFonts w:hint="default" w:ascii="Times New Roman" w:hAnsi="Times New Roman" w:cs="Times New Roman"/>
          <w:highlight w:val="none"/>
        </w:rPr>
        <w:footnoteReference w:id="0"/>
      </w:r>
      <w:r>
        <w:rPr>
          <w:rFonts w:hint="default" w:ascii="Times New Roman" w:hAnsi="Times New Roman" w:cs="Times New Roman"/>
          <w:highlight w:val="none"/>
          <w:vertAlign w:val="superscript"/>
        </w:rPr>
        <w:t>]</w:t>
      </w:r>
      <w:r>
        <w:rPr>
          <w:rFonts w:hint="eastAsia" w:ascii="Times New Roman"/>
          <w:highlight w:val="none"/>
        </w:rPr>
        <w:t>和核电可不提供绿色电力证书交易凭证。</w:t>
      </w:r>
    </w:p>
    <w:p>
      <w:pPr>
        <w:pStyle w:val="94"/>
        <w:spacing w:before="156" w:after="156"/>
        <w:rPr>
          <w:rFonts w:hint="eastAsia" w:ascii="Times New Roman"/>
          <w:highlight w:val="none"/>
          <w:lang w:val="en-US" w:eastAsia="zh-CN"/>
        </w:rPr>
      </w:pPr>
      <w:r>
        <w:rPr>
          <w:rFonts w:hint="eastAsia" w:ascii="Times New Roman"/>
          <w:highlight w:val="none"/>
          <w:lang w:val="en-US" w:eastAsia="zh-CN"/>
        </w:rPr>
        <w:t>电力排放因子</w:t>
      </w:r>
    </w:p>
    <w:p>
      <w:pPr>
        <w:pStyle w:val="56"/>
        <w:ind w:firstLine="420"/>
        <w:rPr>
          <w:rFonts w:ascii="Times New Roman"/>
          <w:highlight w:val="none"/>
        </w:rPr>
      </w:pPr>
      <w:r>
        <w:rPr>
          <w:rFonts w:hint="eastAsia" w:ascii="Times New Roman"/>
          <w:highlight w:val="none"/>
        </w:rPr>
        <w:t>电力排放因子采用生态环境部最新发布的数值</w:t>
      </w:r>
      <w:r>
        <w:rPr>
          <w:rFonts w:ascii="Times New Roman"/>
          <w:highlight w:val="none"/>
        </w:rPr>
        <w:t>。</w:t>
      </w:r>
    </w:p>
    <w:p>
      <w:pPr>
        <w:pStyle w:val="105"/>
        <w:spacing w:before="156" w:after="156"/>
        <w:rPr>
          <w:rFonts w:hint="eastAsia" w:ascii="Times New Roman"/>
          <w:highlight w:val="none"/>
        </w:rPr>
      </w:pPr>
      <w:bookmarkStart w:id="114" w:name="_Toc11986"/>
      <w:bookmarkStart w:id="115" w:name="_Toc128508303"/>
      <w:bookmarkStart w:id="116" w:name="_Toc128508371"/>
      <w:bookmarkStart w:id="117" w:name="_Toc128508455"/>
      <w:bookmarkStart w:id="118" w:name="_Toc128585860"/>
      <w:bookmarkStart w:id="119" w:name="_Toc128676562"/>
      <w:r>
        <w:rPr>
          <w:rFonts w:hint="eastAsia" w:ascii="Times New Roman"/>
          <w:highlight w:val="none"/>
        </w:rPr>
        <w:t>净购入使用热力产生的排放</w:t>
      </w:r>
      <w:bookmarkEnd w:id="114"/>
    </w:p>
    <w:p>
      <w:pPr>
        <w:pStyle w:val="65"/>
        <w:spacing w:before="156" w:after="156"/>
        <w:rPr>
          <w:rFonts w:hint="eastAsia" w:ascii="Times New Roman"/>
          <w:highlight w:val="none"/>
        </w:rPr>
      </w:pPr>
      <w:r>
        <w:rPr>
          <w:rFonts w:hint="eastAsia" w:ascii="Times New Roman"/>
          <w:highlight w:val="none"/>
        </w:rPr>
        <w:t>计算公式</w:t>
      </w:r>
    </w:p>
    <w:p>
      <w:pPr>
        <w:pStyle w:val="56"/>
        <w:spacing w:before="156" w:beforeLines="50"/>
        <w:ind w:firstLine="420"/>
        <w:rPr>
          <w:rFonts w:ascii="Times New Roman"/>
          <w:highlight w:val="none"/>
        </w:rPr>
      </w:pPr>
      <w:r>
        <w:rPr>
          <w:rFonts w:ascii="Times New Roman"/>
          <w:highlight w:val="none"/>
        </w:rPr>
        <w:t>企业</w:t>
      </w:r>
      <w:r>
        <w:rPr>
          <w:rFonts w:hint="eastAsia" w:ascii="Times New Roman"/>
          <w:highlight w:val="none"/>
        </w:rPr>
        <w:t>净购入使用</w:t>
      </w:r>
      <w:r>
        <w:rPr>
          <w:rFonts w:ascii="Times New Roman"/>
          <w:highlight w:val="none"/>
        </w:rPr>
        <w:t>热力产生的二氧化碳排放量按</w:t>
      </w:r>
      <w:r>
        <w:rPr>
          <w:rFonts w:hint="eastAsia" w:ascii="Times New Roman"/>
          <w:highlight w:val="none"/>
          <w:lang w:eastAsia="zh-CN"/>
        </w:rPr>
        <w:t>公式（</w:t>
      </w:r>
      <w:r>
        <w:rPr>
          <w:rFonts w:hint="eastAsia" w:ascii="Times New Roman"/>
          <w:highlight w:val="none"/>
          <w:lang w:val="en-US" w:eastAsia="zh-CN"/>
        </w:rPr>
        <w:t>5</w:t>
      </w:r>
      <w:r>
        <w:rPr>
          <w:rFonts w:ascii="Times New Roman"/>
          <w:highlight w:val="none"/>
        </w:rPr>
        <w:t>）计算</w:t>
      </w:r>
      <w:r>
        <w:rPr>
          <w:rFonts w:hint="eastAsia" w:ascii="Times New Roman"/>
          <w:highlight w:val="none"/>
        </w:rPr>
        <w:t>：</w:t>
      </w:r>
    </w:p>
    <w:p>
      <w:pPr>
        <w:pStyle w:val="113"/>
        <w:rPr>
          <w:rFonts w:ascii="Times New Roman" w:hAnsi="Times New Roman"/>
          <w:highlight w:val="none"/>
        </w:rPr>
      </w:pPr>
      <w:r>
        <w:rPr>
          <w:rFonts w:ascii="Times New Roman" w:hAnsi="Times New Roman"/>
          <w:highlight w:val="none"/>
        </w:rPr>
        <w:tab/>
      </w:r>
      <m:oMath>
        <m:sSub>
          <m:sSubPr>
            <m:ctrlPr>
              <w:rPr>
                <w:rFonts w:ascii="Cambria Math" w:hAnsi="Cambria Math"/>
                <w:i/>
                <w:highlight w:val="none"/>
              </w:rPr>
            </m:ctrlPr>
          </m:sSubPr>
          <m:e>
            <m:r>
              <m:rPr/>
              <w:rPr>
                <w:rFonts w:ascii="Cambria Math" w:hAnsi="Cambria Math"/>
                <w:highlight w:val="none"/>
              </w:rPr>
              <m:t>E</m:t>
            </m:r>
            <m:ctrlPr>
              <w:rPr>
                <w:rFonts w:ascii="Cambria Math" w:hAnsi="Cambria Math"/>
                <w:i/>
                <w:highlight w:val="none"/>
              </w:rPr>
            </m:ctrlPr>
          </m:e>
          <m:sub>
            <m:r>
              <m:rPr/>
              <w:rPr>
                <w:rFonts w:ascii="Cambria Math" w:hAnsi="Cambria Math"/>
                <w:highlight w:val="none"/>
              </w:rPr>
              <m:t>热</m:t>
            </m:r>
            <m:ctrlPr>
              <w:rPr>
                <w:rFonts w:ascii="Cambria Math" w:hAnsi="Cambria Math"/>
                <w:i/>
                <w:highlight w:val="none"/>
              </w:rPr>
            </m:ctrlPr>
          </m:sub>
        </m:sSub>
        <m:r>
          <m:rPr/>
          <w:rPr>
            <w:rFonts w:ascii="Cambria Math" w:hAnsi="Cambria Math"/>
            <w:highlight w:val="none"/>
          </w:rPr>
          <m:t>=</m:t>
        </m:r>
        <m:r>
          <m:rPr/>
          <w:rPr>
            <w:rFonts w:hint="eastAsia" w:ascii="Cambria Math" w:hAnsi="Cambria Math"/>
            <w:highlight w:val="none"/>
          </w:rPr>
          <m:t>Δ</m:t>
        </m:r>
        <m:r>
          <m:rPr/>
          <w:rPr>
            <w:rFonts w:ascii="Cambria Math" w:hAnsi="Cambria Math"/>
            <w:highlight w:val="none"/>
          </w:rPr>
          <m:t>A</m:t>
        </m:r>
        <m:sSub>
          <m:sSubPr>
            <m:ctrlPr>
              <w:rPr>
                <w:rFonts w:ascii="Cambria Math" w:hAnsi="Cambria Math"/>
                <w:i/>
                <w:highlight w:val="none"/>
              </w:rPr>
            </m:ctrlPr>
          </m:sSubPr>
          <m:e>
            <m:r>
              <m:rPr/>
              <w:rPr>
                <w:rFonts w:ascii="Cambria Math" w:hAnsi="Cambria Math"/>
                <w:highlight w:val="none"/>
              </w:rPr>
              <m:t>D</m:t>
            </m:r>
            <m:ctrlPr>
              <w:rPr>
                <w:rFonts w:ascii="Cambria Math" w:hAnsi="Cambria Math"/>
                <w:i/>
                <w:highlight w:val="none"/>
              </w:rPr>
            </m:ctrlPr>
          </m:e>
          <m:sub>
            <m:r>
              <m:rPr/>
              <w:rPr>
                <w:rFonts w:ascii="Cambria Math" w:hAnsi="Cambria Math"/>
                <w:highlight w:val="none"/>
              </w:rPr>
              <m:t>热</m:t>
            </m:r>
            <m:ctrlPr>
              <w:rPr>
                <w:rFonts w:ascii="Cambria Math" w:hAnsi="Cambria Math"/>
                <w:i/>
                <w:highlight w:val="none"/>
              </w:rPr>
            </m:ctrlPr>
          </m:sub>
        </m:sSub>
        <m:r>
          <m:rPr/>
          <w:rPr>
            <w:rFonts w:ascii="Cambria Math" w:hAnsi="Cambria Math"/>
            <w:highlight w:val="none"/>
          </w:rPr>
          <m: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w:rPr>
                <w:rFonts w:ascii="Cambria Math" w:hAnsi="Cambria Math"/>
                <w:highlight w:val="none"/>
              </w:rPr>
              <m:t>热</m:t>
            </m:r>
            <m:ctrlPr>
              <w:rPr>
                <w:rFonts w:ascii="Cambria Math" w:hAnsi="Cambria Math"/>
                <w:i/>
                <w:highlight w:val="none"/>
              </w:rPr>
            </m:ctrlPr>
          </m:sub>
        </m:sSub>
      </m:oMath>
      <w:r>
        <w:rPr>
          <w:rFonts w:ascii="Times New Roman" w:hAnsi="Times New Roman" w:eastAsia="微软雅黑"/>
          <w:highlight w:val="none"/>
        </w:rPr>
        <w:tab/>
      </w:r>
      <w:r>
        <w:rPr>
          <w:rFonts w:hint="eastAsia" w:ascii="Times New Roman" w:hAnsi="Times New Roman"/>
          <w:highlight w:val="none"/>
        </w:rPr>
        <w:t>（</w:t>
      </w:r>
      <w:r>
        <w:rPr>
          <w:rFonts w:hint="eastAsia" w:ascii="Times New Roman" w:hAnsi="Times New Roman"/>
          <w:highlight w:val="none"/>
          <w:lang w:val="en-US" w:eastAsia="zh-CN"/>
        </w:rPr>
        <w:t>5</w:t>
      </w:r>
      <w:r>
        <w:rPr>
          <w:rFonts w:hint="eastAsia" w:ascii="Times New Roman" w:hAnsi="Times New Roman"/>
          <w:highlight w:val="none"/>
        </w:rPr>
        <w:t>）</w:t>
      </w:r>
    </w:p>
    <w:p>
      <w:pPr>
        <w:pStyle w:val="55"/>
        <w:ind w:firstLine="420"/>
        <w:rPr>
          <w:rFonts w:ascii="Times New Roman" w:hAnsi="Times New Roman"/>
          <w:highlight w:val="none"/>
        </w:rPr>
      </w:pPr>
      <w:r>
        <w:rPr>
          <w:rFonts w:ascii="Times New Roman" w:hAnsi="Times New Roman"/>
          <w:highlight w:val="none"/>
        </w:rPr>
        <w:t>式中：</w:t>
      </w:r>
    </w:p>
    <w:tbl>
      <w:tblPr>
        <w:tblStyle w:val="2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7"/>
        <w:gridCol w:w="340"/>
        <w:gridCol w:w="7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7" w:type="dxa"/>
            <w:vAlign w:val="top"/>
          </w:tcPr>
          <w:p>
            <w:pPr>
              <w:pStyle w:val="56"/>
              <w:adjustRightInd w:val="0"/>
              <w:snapToGrid w:val="0"/>
              <w:ind w:firstLine="0" w:firstLineChars="0"/>
              <w:rPr>
                <w:rFonts w:hint="eastAsia" w:ascii="Cambria Math" w:hAnsi="Cambria Math"/>
                <w:i/>
                <w:highlight w:val="none"/>
                <w:oMath/>
              </w:rPr>
            </w:pPr>
            <m:oMathPara>
              <m:oMathParaPr>
                <m:jc m:val="left"/>
              </m:oMathParaPr>
              <m:oMath>
                <m:sSub>
                  <m:sSubPr>
                    <m:ctrlPr>
                      <w:rPr>
                        <w:rFonts w:ascii="Cambria Math" w:hAnsi="Cambria Math"/>
                        <w:i/>
                        <w:iCs/>
                        <w:highlight w:val="none"/>
                      </w:rPr>
                    </m:ctrlPr>
                  </m:sSubPr>
                  <m:e>
                    <m:r>
                      <m:rPr/>
                      <w:rPr>
                        <w:rFonts w:ascii="Cambria Math" w:hAnsi="Cambria Math"/>
                        <w:highlight w:val="none"/>
                      </w:rPr>
                      <m:t>E</m:t>
                    </m:r>
                    <m:ctrlPr>
                      <w:rPr>
                        <w:rFonts w:ascii="Cambria Math" w:hAnsi="Cambria Math"/>
                        <w:i/>
                        <w:iCs/>
                        <w:highlight w:val="none"/>
                      </w:rPr>
                    </m:ctrlPr>
                  </m:e>
                  <m:sub>
                    <m:r>
                      <m:rPr/>
                      <w:rPr>
                        <w:rFonts w:ascii="Cambria Math" w:hAnsi="Cambria Math"/>
                        <w:highlight w:val="none"/>
                      </w:rPr>
                      <m:t>热</m:t>
                    </m:r>
                    <m:ctrlPr>
                      <w:rPr>
                        <w:rFonts w:ascii="Cambria Math" w:hAnsi="Cambria Math"/>
                        <w:i/>
                        <w:iCs/>
                        <w:highlight w:val="none"/>
                      </w:rPr>
                    </m:ctrlPr>
                  </m:sub>
                </m:sSub>
              </m:oMath>
            </m:oMathPara>
          </w:p>
        </w:tc>
        <w:tc>
          <w:tcPr>
            <w:tcW w:w="340" w:type="dxa"/>
            <w:vAlign w:val="top"/>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880" w:type="dxa"/>
            <w:vAlign w:val="top"/>
          </w:tcPr>
          <w:p>
            <w:pPr>
              <w:pStyle w:val="56"/>
              <w:adjustRightInd w:val="0"/>
              <w:snapToGrid w:val="0"/>
              <w:ind w:left="-105" w:leftChars="-50" w:firstLine="0" w:firstLineChars="0"/>
              <w:rPr>
                <w:rFonts w:ascii="Times New Roman"/>
                <w:highlight w:val="none"/>
              </w:rPr>
            </w:pPr>
            <w:r>
              <w:rPr>
                <w:rFonts w:hint="eastAsia" w:ascii="Times New Roman"/>
                <w:highlight w:val="none"/>
              </w:rPr>
              <w:t>企业净</w:t>
            </w:r>
            <w:r>
              <w:rPr>
                <w:rFonts w:ascii="Times New Roman"/>
                <w:highlight w:val="none"/>
              </w:rPr>
              <w:t>购入热力产生的二氧化碳排放量，</w:t>
            </w:r>
            <w:r>
              <w:rPr>
                <w:rFonts w:hint="eastAsia" w:ascii="Times New Roman"/>
                <w:highlight w:val="none"/>
              </w:rPr>
              <w:t>以</w:t>
            </w:r>
            <w:r>
              <w:rPr>
                <w:rFonts w:ascii="Times New Roman"/>
                <w:highlight w:val="none"/>
              </w:rPr>
              <w:t>吨二氧化碳（tCO</w:t>
            </w:r>
            <w:r>
              <w:rPr>
                <w:rFonts w:ascii="Times New Roman"/>
                <w:highlight w:val="none"/>
                <w:vertAlign w:val="subscript"/>
              </w:rPr>
              <w:t>2</w:t>
            </w:r>
            <w:r>
              <w:rPr>
                <w:rFonts w:ascii="Times New Roman"/>
                <w:highlight w:val="none"/>
              </w:rPr>
              <w:t>）</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7" w:type="dxa"/>
            <w:vAlign w:val="top"/>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highlight w:val="none"/>
                  </w:rPr>
                  <m:t>A</m:t>
                </m:r>
                <m:sSub>
                  <m:sSubPr>
                    <m:ctrlPr>
                      <w:rPr>
                        <w:rFonts w:ascii="Cambria Math" w:hAnsi="Cambria Math"/>
                        <w:i/>
                        <w:iCs/>
                        <w:szCs w:val="21"/>
                        <w:highlight w:val="none"/>
                      </w:rPr>
                    </m:ctrlPr>
                  </m:sSubPr>
                  <m:e>
                    <m:r>
                      <m:rPr/>
                      <w:rPr>
                        <w:rFonts w:ascii="Cambria Math" w:hAnsi="Cambria Math"/>
                        <w:highlight w:val="none"/>
                      </w:rPr>
                      <m:t>D</m:t>
                    </m:r>
                    <m:ctrlPr>
                      <w:rPr>
                        <w:rFonts w:ascii="Cambria Math" w:hAnsi="Cambria Math"/>
                        <w:i/>
                        <w:iCs/>
                        <w:szCs w:val="21"/>
                        <w:highlight w:val="none"/>
                      </w:rPr>
                    </m:ctrlPr>
                  </m:e>
                  <m:sub>
                    <m:r>
                      <m:rPr/>
                      <w:rPr>
                        <w:rFonts w:hint="eastAsia" w:ascii="Cambria Math" w:hAnsi="Cambria Math" w:cs="宋体"/>
                        <w:highlight w:val="none"/>
                      </w:rPr>
                      <m:t>购入热</m:t>
                    </m:r>
                    <m:ctrlPr>
                      <w:rPr>
                        <w:rFonts w:ascii="Cambria Math" w:hAnsi="Cambria Math"/>
                        <w:i/>
                        <w:iCs/>
                        <w:szCs w:val="21"/>
                        <w:highlight w:val="none"/>
                      </w:rPr>
                    </m:ctrlPr>
                  </m:sub>
                </m:sSub>
              </m:oMath>
            </m:oMathPara>
          </w:p>
        </w:tc>
        <w:tc>
          <w:tcPr>
            <w:tcW w:w="340" w:type="dxa"/>
            <w:vAlign w:val="top"/>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880" w:type="dxa"/>
            <w:vAlign w:val="top"/>
          </w:tcPr>
          <w:p>
            <w:pPr>
              <w:pStyle w:val="56"/>
              <w:adjustRightInd w:val="0"/>
              <w:snapToGrid w:val="0"/>
              <w:ind w:left="-105" w:leftChars="-50" w:firstLine="0" w:firstLineChars="0"/>
              <w:rPr>
                <w:rFonts w:ascii="Times New Roman"/>
                <w:highlight w:val="none"/>
              </w:rPr>
            </w:pPr>
            <w:r>
              <w:rPr>
                <w:rFonts w:ascii="Times New Roman"/>
                <w:highlight w:val="none"/>
              </w:rPr>
              <w:t>核算和报告期内</w:t>
            </w:r>
            <w:r>
              <w:rPr>
                <w:rFonts w:hint="eastAsia"/>
                <w:szCs w:val="21"/>
                <w:highlight w:val="none"/>
              </w:rPr>
              <w:t>购入的总热量</w:t>
            </w:r>
            <w:r>
              <w:rPr>
                <w:rFonts w:ascii="Times New Roman"/>
                <w:highlight w:val="none"/>
              </w:rPr>
              <w:t>，</w:t>
            </w:r>
            <w:r>
              <w:rPr>
                <w:rFonts w:hint="eastAsia" w:ascii="Times New Roman"/>
                <w:highlight w:val="none"/>
              </w:rPr>
              <w:t>以</w:t>
            </w:r>
            <w:r>
              <w:rPr>
                <w:rFonts w:ascii="Times New Roman"/>
                <w:highlight w:val="none"/>
              </w:rPr>
              <w:t>吉焦（GJ）</w:t>
            </w:r>
            <w:r>
              <w:rPr>
                <w:rFonts w:hint="eastAsia" w:ascii="Times New Roman"/>
                <w:highlight w:val="none"/>
              </w:rPr>
              <w:t>计，可</w:t>
            </w:r>
            <w:r>
              <w:rPr>
                <w:rFonts w:ascii="Times New Roman"/>
                <w:highlight w:val="none"/>
              </w:rPr>
              <w:t>按</w:t>
            </w:r>
            <w:r>
              <w:rPr>
                <w:rFonts w:hint="eastAsia" w:ascii="Times New Roman"/>
                <w:highlight w:val="none"/>
                <w:lang w:eastAsia="zh-CN"/>
              </w:rPr>
              <w:t>公式（</w:t>
            </w:r>
            <w:r>
              <w:rPr>
                <w:rFonts w:hint="eastAsia" w:ascii="Times New Roman"/>
                <w:highlight w:val="none"/>
                <w:lang w:val="en-US" w:eastAsia="zh-CN"/>
              </w:rPr>
              <w:t>6</w:t>
            </w:r>
            <w:r>
              <w:rPr>
                <w:rFonts w:ascii="Times New Roman"/>
                <w:highlight w:val="none"/>
              </w:rPr>
              <w:t>）</w:t>
            </w:r>
            <w:r>
              <w:rPr>
                <w:rFonts w:hint="eastAsia" w:ascii="Times New Roman"/>
                <w:highlight w:val="none"/>
              </w:rPr>
              <w:t>或</w:t>
            </w:r>
            <w:r>
              <w:rPr>
                <w:rFonts w:hint="eastAsia" w:ascii="Times New Roman"/>
                <w:highlight w:val="none"/>
                <w:lang w:eastAsia="zh-CN"/>
              </w:rPr>
              <w:t>公式（</w:t>
            </w:r>
            <w:r>
              <w:rPr>
                <w:rFonts w:hint="eastAsia" w:ascii="Times New Roman"/>
                <w:highlight w:val="none"/>
                <w:lang w:val="en-US" w:eastAsia="zh-CN"/>
              </w:rPr>
              <w:t>7</w:t>
            </w:r>
            <w:r>
              <w:rPr>
                <w:rFonts w:hint="eastAsia" w:ascii="Times New Roman"/>
                <w:highlight w:val="none"/>
              </w:rPr>
              <w:t>）</w:t>
            </w:r>
            <w:r>
              <w:rPr>
                <w:rFonts w:ascii="Times New Roman"/>
                <w:highlight w:val="none"/>
              </w:rPr>
              <w:t>计算</w:t>
            </w:r>
            <w:r>
              <w:rPr>
                <w:rFonts w:hint="eastAsia"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7" w:type="dxa"/>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eastAsia="仿宋_GB2312"/>
                    <w:highlight w:val="none"/>
                  </w:rPr>
                  <m:t>E</m:t>
                </m:r>
                <m:sSub>
                  <m:sSubPr>
                    <m:ctrlPr>
                      <w:rPr>
                        <w:rFonts w:ascii="Cambria Math" w:hAnsi="Cambria Math" w:eastAsia="仿宋_GB2312"/>
                        <w:i/>
                        <w:highlight w:val="none"/>
                      </w:rPr>
                    </m:ctrlPr>
                  </m:sSubPr>
                  <m:e>
                    <m:r>
                      <m:rPr/>
                      <w:rPr>
                        <w:rFonts w:ascii="Cambria Math" w:hAnsi="Cambria Math" w:eastAsia="仿宋_GB2312"/>
                        <w:highlight w:val="none"/>
                      </w:rPr>
                      <m:t>F</m:t>
                    </m:r>
                    <m:ctrlPr>
                      <w:rPr>
                        <w:rFonts w:ascii="Cambria Math" w:hAnsi="Cambria Math" w:eastAsia="仿宋_GB2312"/>
                        <w:i/>
                        <w:highlight w:val="none"/>
                      </w:rPr>
                    </m:ctrlPr>
                  </m:e>
                  <m:sub>
                    <m:r>
                      <m:rPr/>
                      <w:rPr>
                        <w:rFonts w:hint="eastAsia" w:ascii="Cambria Math" w:hAnsi="Cambria Math"/>
                        <w:highlight w:val="none"/>
                      </w:rPr>
                      <m:t>热</m:t>
                    </m:r>
                    <m:ctrlPr>
                      <w:rPr>
                        <w:rFonts w:ascii="Cambria Math" w:hAnsi="Cambria Math" w:eastAsia="仿宋_GB2312"/>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880" w:type="dxa"/>
          </w:tcPr>
          <w:p>
            <w:pPr>
              <w:pStyle w:val="56"/>
              <w:adjustRightInd w:val="0"/>
              <w:snapToGrid w:val="0"/>
              <w:ind w:left="-105" w:leftChars="-50" w:firstLine="0" w:firstLineChars="0"/>
              <w:rPr>
                <w:rFonts w:ascii="Times New Roman"/>
                <w:highlight w:val="none"/>
              </w:rPr>
            </w:pPr>
            <w:r>
              <w:rPr>
                <w:rFonts w:ascii="Times New Roman"/>
                <w:highlight w:val="none"/>
              </w:rPr>
              <w:t>热力的二氧化碳排放因子，</w:t>
            </w:r>
            <w:r>
              <w:rPr>
                <w:rFonts w:hint="eastAsia" w:ascii="Times New Roman"/>
                <w:highlight w:val="none"/>
              </w:rPr>
              <w:t>以</w:t>
            </w:r>
            <w:r>
              <w:rPr>
                <w:rFonts w:ascii="Times New Roman"/>
                <w:highlight w:val="none"/>
              </w:rPr>
              <w:t>吨二氧化碳每吉焦（tCO</w:t>
            </w:r>
            <w:r>
              <w:rPr>
                <w:rFonts w:ascii="Times New Roman"/>
                <w:highlight w:val="none"/>
                <w:vertAlign w:val="subscript"/>
              </w:rPr>
              <w:t>2</w:t>
            </w:r>
            <w:r>
              <w:rPr>
                <w:rFonts w:ascii="Times New Roman"/>
                <w:highlight w:val="none"/>
              </w:rPr>
              <w:t>/GJ）</w:t>
            </w:r>
            <w:r>
              <w:rPr>
                <w:rFonts w:hint="eastAsia" w:ascii="Times New Roman"/>
                <w:highlight w:val="none"/>
              </w:rPr>
              <w:t>计</w:t>
            </w:r>
            <w:r>
              <w:rPr>
                <w:rFonts w:ascii="Times New Roman"/>
                <w:highlight w:val="none"/>
              </w:rPr>
              <w:t>。</w:t>
            </w:r>
          </w:p>
        </w:tc>
      </w:tr>
    </w:tbl>
    <w:p>
      <w:pPr>
        <w:pStyle w:val="229"/>
        <w:rPr>
          <w:rFonts w:ascii="Times New Roman"/>
          <w:highlight w:val="none"/>
        </w:rPr>
      </w:pPr>
      <w:r>
        <w:rPr>
          <w:rFonts w:ascii="Times New Roman"/>
          <w:highlight w:val="none"/>
        </w:rPr>
        <w:t>以质量单位计量的蒸汽可按式（</w:t>
      </w:r>
      <w:r>
        <w:rPr>
          <w:rFonts w:hint="eastAsia" w:ascii="Times New Roman"/>
          <w:highlight w:val="none"/>
          <w:lang w:val="en-US" w:eastAsia="zh-CN"/>
        </w:rPr>
        <w:t>6</w:t>
      </w:r>
      <w:r>
        <w:rPr>
          <w:rFonts w:ascii="Times New Roman"/>
          <w:highlight w:val="none"/>
        </w:rPr>
        <w:t>）转换为热量单位。</w:t>
      </w:r>
    </w:p>
    <w:p>
      <w:pPr>
        <w:pStyle w:val="113"/>
        <w:rPr>
          <w:rFonts w:ascii="Times New Roman" w:hAnsi="Times New Roman"/>
          <w:highlight w:val="none"/>
        </w:rPr>
      </w:pPr>
      <w:r>
        <w:rPr>
          <w:rFonts w:ascii="Times New Roman" w:hAnsi="Times New Roman"/>
          <w:highlight w:val="none"/>
        </w:rPr>
        <w:tab/>
      </w:r>
      <m:oMath>
        <m:sSub>
          <m:sSubPr>
            <m:ctrlPr>
              <w:rPr>
                <w:rFonts w:ascii="Cambria Math" w:hAnsi="Cambria Math"/>
                <w:i/>
                <w:highlight w:val="none"/>
              </w:rPr>
            </m:ctrlPr>
          </m:sSubPr>
          <m:e>
            <m:r>
              <m:rPr/>
              <w:rPr>
                <w:rFonts w:ascii="Cambria Math" w:hAnsi="Cambria Math"/>
                <w:highlight w:val="none"/>
              </w:rPr>
              <m:t>AD</m:t>
            </m:r>
            <m:ctrlPr>
              <w:rPr>
                <w:rFonts w:ascii="Cambria Math" w:hAnsi="Cambria Math"/>
                <w:i/>
                <w:highlight w:val="none"/>
              </w:rPr>
            </m:ctrlPr>
          </m:e>
          <m:sub>
            <m:r>
              <m:rPr/>
              <w:rPr>
                <w:rFonts w:ascii="Cambria Math" w:hAnsi="Cambria Math"/>
                <w:highlight w:val="none"/>
              </w:rPr>
              <m:t>st</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Ma</m:t>
            </m:r>
            <m:ctrlPr>
              <w:rPr>
                <w:rFonts w:ascii="Cambria Math" w:hAnsi="Cambria Math"/>
                <w:i/>
                <w:highlight w:val="none"/>
              </w:rPr>
            </m:ctrlPr>
          </m:e>
          <m:sub>
            <m:r>
              <m:rPr/>
              <w:rPr>
                <w:rFonts w:ascii="Cambria Math" w:hAnsi="Cambria Math"/>
                <w:highlight w:val="none"/>
              </w:rPr>
              <m:t>st</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En</m:t>
            </m:r>
            <m:ctrlPr>
              <w:rPr>
                <w:rFonts w:ascii="Cambria Math" w:hAnsi="Cambria Math"/>
                <w:i/>
                <w:highlight w:val="none"/>
              </w:rPr>
            </m:ctrlPr>
          </m:e>
          <m:sub>
            <m:r>
              <m:rPr/>
              <w:rPr>
                <w:rFonts w:ascii="Cambria Math" w:hAnsi="Cambria Math"/>
                <w:highlight w:val="none"/>
              </w:rPr>
              <m:t>st</m:t>
            </m:r>
            <m:ctrlPr>
              <w:rPr>
                <w:rFonts w:ascii="Cambria Math" w:hAnsi="Cambria Math"/>
                <w:i/>
                <w:highlight w:val="none"/>
              </w:rPr>
            </m:ctrlPr>
          </m:sub>
        </m:sSub>
        <m:r>
          <m:rPr/>
          <w:rPr>
            <w:rFonts w:ascii="Cambria Math" w:hAnsi="Cambria Math"/>
            <w:highlight w:val="none"/>
          </w:rPr>
          <m:t>−83.74)×</m:t>
        </m:r>
        <m:sSup>
          <m:sSupPr>
            <m:ctrlPr>
              <w:rPr>
                <w:rFonts w:ascii="Cambria Math" w:hAnsi="Cambria Math"/>
                <w:i/>
                <w:highlight w:val="none"/>
              </w:rPr>
            </m:ctrlPr>
          </m:sSupPr>
          <m:e>
            <m:r>
              <m:rPr/>
              <w:rPr>
                <w:rFonts w:ascii="Cambria Math" w:hAnsi="Cambria Math"/>
                <w:highlight w:val="none"/>
              </w:rPr>
              <m:t>10</m:t>
            </m:r>
            <m:ctrlPr>
              <w:rPr>
                <w:rFonts w:ascii="Cambria Math" w:hAnsi="Cambria Math"/>
                <w:i/>
                <w:highlight w:val="none"/>
              </w:rPr>
            </m:ctrlPr>
          </m:e>
          <m:sup>
            <m:r>
              <m:rPr/>
              <w:rPr>
                <w:rFonts w:ascii="Cambria Math" w:hAnsi="Cambria Math"/>
                <w:highlight w:val="none"/>
              </w:rPr>
              <m:t>−3</m:t>
            </m:r>
            <m:ctrlPr>
              <w:rPr>
                <w:rFonts w:ascii="Cambria Math" w:hAnsi="Cambria Math"/>
                <w:i/>
                <w:highlight w:val="none"/>
              </w:rPr>
            </m:ctrlPr>
          </m:sup>
        </m:sSup>
      </m:oMath>
      <w:r>
        <w:rPr>
          <w:rFonts w:ascii="Times New Roman" w:hAnsi="Times New Roman" w:eastAsia="微软雅黑"/>
          <w:highlight w:val="none"/>
        </w:rPr>
        <w:tab/>
      </w:r>
      <w:r>
        <w:rPr>
          <w:rFonts w:hint="eastAsia" w:ascii="Times New Roman" w:hAnsi="Times New Roman"/>
          <w:highlight w:val="none"/>
        </w:rPr>
        <w:t>（</w:t>
      </w:r>
      <w:r>
        <w:rPr>
          <w:rFonts w:hint="eastAsia" w:ascii="Times New Roman" w:hAnsi="Times New Roman"/>
          <w:highlight w:val="none"/>
          <w:lang w:val="en-US" w:eastAsia="zh-CN"/>
        </w:rPr>
        <w:t>6</w:t>
      </w:r>
      <w:r>
        <w:rPr>
          <w:rFonts w:hint="eastAsia" w:ascii="Times New Roman" w:hAnsi="Times New Roman"/>
          <w:highlight w:val="none"/>
        </w:rPr>
        <w:t>）</w:t>
      </w:r>
    </w:p>
    <w:p>
      <w:pPr>
        <w:pStyle w:val="229"/>
        <w:rPr>
          <w:rFonts w:ascii="Times New Roman"/>
          <w:highlight w:val="none"/>
        </w:rPr>
      </w:pPr>
      <w:r>
        <w:rPr>
          <w:rFonts w:ascii="Times New Roman"/>
          <w:highlight w:val="none"/>
        </w:rPr>
        <w:t>式中：</w:t>
      </w:r>
    </w:p>
    <w:tbl>
      <w:tblPr>
        <w:tblStyle w:val="27"/>
        <w:tblW w:w="9128"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4"/>
        <w:gridCol w:w="340"/>
        <w:gridCol w:w="81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24" w:type="dxa"/>
          </w:tcPr>
          <w:p>
            <w:pPr>
              <w:pStyle w:val="56"/>
              <w:adjustRightInd w:val="0"/>
              <w:snapToGrid w:val="0"/>
              <w:ind w:firstLine="0" w:firstLineChars="0"/>
              <w:rPr>
                <w:rFonts w:ascii="Times New Roman"/>
                <w:iCs/>
                <w:highlight w:val="none"/>
              </w:rPr>
            </w:pPr>
            <m:oMathPara>
              <m:oMathParaPr>
                <m:jc m:val="left"/>
              </m:oMathParaPr>
              <m:oMath>
                <m:sSub>
                  <m:sSubPr>
                    <m:ctrlPr>
                      <w:rPr>
                        <w:rFonts w:ascii="Cambria Math" w:hAnsi="Cambria Math"/>
                        <w:i/>
                        <w:highlight w:val="none"/>
                      </w:rPr>
                    </m:ctrlPr>
                  </m:sSubPr>
                  <m:e>
                    <m:r>
                      <m:rPr/>
                      <w:rPr>
                        <w:rFonts w:ascii="Cambria Math" w:hAnsi="Cambria Math"/>
                        <w:highlight w:val="none"/>
                      </w:rPr>
                      <m:t>AD</m:t>
                    </m:r>
                    <m:ctrlPr>
                      <w:rPr>
                        <w:rFonts w:ascii="Cambria Math" w:hAnsi="Cambria Math"/>
                        <w:i/>
                        <w:highlight w:val="none"/>
                      </w:rPr>
                    </m:ctrlPr>
                  </m:e>
                  <m:sub>
                    <m:r>
                      <m:rPr/>
                      <w:rPr>
                        <w:rFonts w:ascii="Cambria Math" w:hAnsi="Cambria Math"/>
                        <w:highlight w:val="none"/>
                      </w:rPr>
                      <m:t>st</m:t>
                    </m:r>
                    <m:ctrlPr>
                      <w:rPr>
                        <w:rFonts w:ascii="Cambria Math" w:hAnsi="Cambria Math"/>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164" w:type="dxa"/>
          </w:tcPr>
          <w:p>
            <w:pPr>
              <w:pStyle w:val="56"/>
              <w:adjustRightInd w:val="0"/>
              <w:snapToGrid w:val="0"/>
              <w:ind w:left="-105" w:leftChars="-50" w:firstLine="0" w:firstLineChars="0"/>
              <w:rPr>
                <w:rFonts w:ascii="Times New Roman"/>
                <w:highlight w:val="none"/>
              </w:rPr>
            </w:pPr>
            <w:r>
              <w:rPr>
                <w:rFonts w:ascii="Times New Roman"/>
                <w:highlight w:val="none"/>
              </w:rPr>
              <w:t>蒸汽的热量，</w:t>
            </w:r>
            <w:r>
              <w:rPr>
                <w:rFonts w:hint="eastAsia" w:ascii="Times New Roman"/>
                <w:highlight w:val="none"/>
              </w:rPr>
              <w:t>以</w:t>
            </w:r>
            <w:r>
              <w:rPr>
                <w:rFonts w:ascii="Times New Roman"/>
                <w:highlight w:val="none"/>
              </w:rPr>
              <w:t>吉焦（GJ）</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24" w:type="dxa"/>
          </w:tcPr>
          <w:p>
            <w:pPr>
              <w:pStyle w:val="56"/>
              <w:adjustRightInd w:val="0"/>
              <w:snapToGrid w:val="0"/>
              <w:ind w:firstLine="0" w:firstLineChars="0"/>
              <w:rPr>
                <w:rFonts w:ascii="Times New Roman"/>
                <w:highlight w:val="none"/>
              </w:rPr>
            </w:pPr>
            <m:oMathPara>
              <m:oMathParaPr>
                <m:jc m:val="left"/>
              </m:oMathParaPr>
              <m:oMath>
                <m:sSub>
                  <m:sSubPr>
                    <m:ctrlPr>
                      <w:rPr>
                        <w:rFonts w:ascii="Cambria Math" w:hAnsi="Cambria Math"/>
                        <w:i/>
                        <w:highlight w:val="none"/>
                      </w:rPr>
                    </m:ctrlPr>
                  </m:sSubPr>
                  <m:e>
                    <m:r>
                      <m:rPr/>
                      <w:rPr>
                        <w:rFonts w:ascii="Cambria Math" w:hAnsi="Cambria Math"/>
                        <w:highlight w:val="none"/>
                      </w:rPr>
                      <m:t>Ma</m:t>
                    </m:r>
                    <m:ctrlPr>
                      <w:rPr>
                        <w:rFonts w:ascii="Cambria Math" w:hAnsi="Cambria Math"/>
                        <w:i/>
                        <w:highlight w:val="none"/>
                      </w:rPr>
                    </m:ctrlPr>
                  </m:e>
                  <m:sub>
                    <m:r>
                      <m:rPr/>
                      <w:rPr>
                        <w:rFonts w:ascii="Cambria Math" w:hAnsi="Cambria Math"/>
                        <w:highlight w:val="none"/>
                      </w:rPr>
                      <m:t>st</m:t>
                    </m:r>
                    <m:ctrlPr>
                      <w:rPr>
                        <w:rFonts w:ascii="Cambria Math" w:hAnsi="Cambria Math"/>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164" w:type="dxa"/>
          </w:tcPr>
          <w:p>
            <w:pPr>
              <w:pStyle w:val="56"/>
              <w:adjustRightInd w:val="0"/>
              <w:snapToGrid w:val="0"/>
              <w:ind w:left="-105" w:leftChars="-50" w:firstLine="0" w:firstLineChars="0"/>
              <w:rPr>
                <w:rFonts w:ascii="Times New Roman"/>
                <w:highlight w:val="none"/>
              </w:rPr>
            </w:pPr>
            <w:r>
              <w:rPr>
                <w:rFonts w:ascii="Times New Roman"/>
                <w:highlight w:val="none"/>
              </w:rPr>
              <w:t>蒸汽的质量，</w:t>
            </w:r>
            <w:r>
              <w:rPr>
                <w:rFonts w:hint="eastAsia" w:ascii="Times New Roman"/>
                <w:highlight w:val="none"/>
              </w:rPr>
              <w:t>以</w:t>
            </w:r>
            <w:r>
              <w:rPr>
                <w:rFonts w:ascii="Times New Roman"/>
                <w:highlight w:val="none"/>
              </w:rPr>
              <w:t>吨（t）</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24" w:type="dxa"/>
          </w:tcPr>
          <w:p>
            <w:pPr>
              <w:pStyle w:val="56"/>
              <w:adjustRightInd w:val="0"/>
              <w:snapToGrid w:val="0"/>
              <w:ind w:firstLine="0" w:firstLineChars="0"/>
              <w:rPr>
                <w:rFonts w:ascii="Times New Roman"/>
                <w:highlight w:val="none"/>
              </w:rPr>
            </w:pPr>
            <m:oMathPara>
              <m:oMathParaPr>
                <m:jc m:val="left"/>
              </m:oMathParaPr>
              <m:oMath>
                <m:sSub>
                  <m:sSubPr>
                    <m:ctrlPr>
                      <w:rPr>
                        <w:rFonts w:ascii="Cambria Math" w:hAnsi="Cambria Math"/>
                        <w:i/>
                        <w:highlight w:val="none"/>
                      </w:rPr>
                    </m:ctrlPr>
                  </m:sSubPr>
                  <m:e>
                    <m:r>
                      <m:rPr/>
                      <w:rPr>
                        <w:rFonts w:ascii="Cambria Math" w:hAnsi="Cambria Math"/>
                        <w:highlight w:val="none"/>
                      </w:rPr>
                      <m:t>En</m:t>
                    </m:r>
                    <m:ctrlPr>
                      <w:rPr>
                        <w:rFonts w:ascii="Cambria Math" w:hAnsi="Cambria Math"/>
                        <w:i/>
                        <w:highlight w:val="none"/>
                      </w:rPr>
                    </m:ctrlPr>
                  </m:e>
                  <m:sub>
                    <m:r>
                      <m:rPr/>
                      <w:rPr>
                        <w:rFonts w:ascii="Cambria Math" w:hAnsi="Cambria Math"/>
                        <w:highlight w:val="none"/>
                      </w:rPr>
                      <m:t>st</m:t>
                    </m:r>
                    <m:ctrlPr>
                      <w:rPr>
                        <w:rFonts w:ascii="Cambria Math" w:hAnsi="Cambria Math"/>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164" w:type="dxa"/>
          </w:tcPr>
          <w:p>
            <w:pPr>
              <w:pStyle w:val="56"/>
              <w:adjustRightInd w:val="0"/>
              <w:snapToGrid w:val="0"/>
              <w:ind w:left="-105" w:leftChars="-50" w:firstLine="0" w:firstLineChars="0"/>
              <w:rPr>
                <w:rFonts w:ascii="Times New Roman"/>
                <w:highlight w:val="none"/>
              </w:rPr>
            </w:pPr>
            <w:r>
              <w:rPr>
                <w:rFonts w:ascii="Times New Roman"/>
                <w:highlight w:val="none"/>
              </w:rPr>
              <w:t>蒸汽所对应的温度、压力下每千克蒸汽的焓值，取值参考相关行业标准，</w:t>
            </w:r>
            <w:r>
              <w:rPr>
                <w:rFonts w:hint="eastAsia" w:ascii="Times New Roman"/>
                <w:highlight w:val="none"/>
              </w:rPr>
              <w:t>以</w:t>
            </w:r>
            <w:r>
              <w:rPr>
                <w:rFonts w:ascii="Times New Roman"/>
                <w:highlight w:val="none"/>
              </w:rPr>
              <w:t>千焦每千克（kJ/kg）</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624" w:type="dxa"/>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highlight w:val="none"/>
                  </w:rPr>
                  <m:t>83.74</m:t>
                </m:r>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164" w:type="dxa"/>
          </w:tcPr>
          <w:p>
            <w:pPr>
              <w:pStyle w:val="56"/>
              <w:adjustRightInd w:val="0"/>
              <w:snapToGrid w:val="0"/>
              <w:ind w:left="-105" w:leftChars="-50" w:firstLine="0" w:firstLineChars="0"/>
              <w:rPr>
                <w:rFonts w:ascii="Times New Roman"/>
                <w:highlight w:val="none"/>
              </w:rPr>
            </w:pPr>
            <w:r>
              <w:rPr>
                <w:rFonts w:ascii="Times New Roman"/>
                <w:highlight w:val="none"/>
              </w:rPr>
              <w:t>水温为20℃时的焓值，</w:t>
            </w:r>
            <w:r>
              <w:rPr>
                <w:rFonts w:hint="eastAsia" w:ascii="Times New Roman"/>
                <w:highlight w:val="none"/>
              </w:rPr>
              <w:t>以</w:t>
            </w:r>
            <w:r>
              <w:rPr>
                <w:rFonts w:ascii="Times New Roman"/>
                <w:highlight w:val="none"/>
              </w:rPr>
              <w:t>千焦每千克（kJ/kg）</w:t>
            </w:r>
            <w:r>
              <w:rPr>
                <w:rFonts w:hint="eastAsia" w:ascii="Times New Roman"/>
                <w:highlight w:val="none"/>
              </w:rPr>
              <w:t>计</w:t>
            </w:r>
            <w:r>
              <w:rPr>
                <w:rFonts w:ascii="Times New Roman"/>
                <w:highlight w:val="none"/>
              </w:rPr>
              <w:t>。</w:t>
            </w:r>
          </w:p>
        </w:tc>
      </w:tr>
    </w:tbl>
    <w:p>
      <w:pPr>
        <w:pStyle w:val="229"/>
        <w:rPr>
          <w:rFonts w:ascii="Times New Roman"/>
          <w:highlight w:val="none"/>
        </w:rPr>
      </w:pPr>
      <w:r>
        <w:rPr>
          <w:rFonts w:ascii="Times New Roman"/>
          <w:highlight w:val="none"/>
        </w:rPr>
        <w:t>以质量单位计量的热水可按</w:t>
      </w:r>
      <w:r>
        <w:rPr>
          <w:rFonts w:hint="eastAsia" w:ascii="Times New Roman"/>
          <w:highlight w:val="none"/>
          <w:lang w:eastAsia="zh-CN"/>
        </w:rPr>
        <w:t>公式（</w:t>
      </w:r>
      <w:r>
        <w:rPr>
          <w:rFonts w:hint="eastAsia" w:ascii="Times New Roman"/>
          <w:highlight w:val="none"/>
          <w:lang w:val="en-US" w:eastAsia="zh-CN"/>
        </w:rPr>
        <w:t>7</w:t>
      </w:r>
      <w:r>
        <w:rPr>
          <w:rFonts w:ascii="Times New Roman"/>
          <w:highlight w:val="none"/>
        </w:rPr>
        <w:t>）转换为热量单位。</w:t>
      </w:r>
    </w:p>
    <w:p>
      <w:pPr>
        <w:pStyle w:val="113"/>
        <w:rPr>
          <w:rFonts w:ascii="Times New Roman" w:hAnsi="Times New Roman"/>
          <w:highlight w:val="none"/>
        </w:rPr>
      </w:pPr>
      <w:r>
        <w:rPr>
          <w:rFonts w:ascii="Times New Roman" w:hAnsi="Times New Roman"/>
          <w:highlight w:val="none"/>
        </w:rPr>
        <w:tab/>
      </w:r>
      <m:oMath>
        <m:sSub>
          <m:sSubPr>
            <m:ctrlPr>
              <w:rPr>
                <w:rFonts w:ascii="Cambria Math" w:hAnsi="Cambria Math"/>
                <w:iCs/>
                <w:highlight w:val="none"/>
              </w:rPr>
            </m:ctrlPr>
          </m:sSubPr>
          <m:e>
            <m:r>
              <m:rPr>
                <m:sty m:val="p"/>
              </m:rPr>
              <w:rPr>
                <w:rFonts w:ascii="Cambria Math" w:hAnsi="Cambria Math"/>
                <w:highlight w:val="none"/>
              </w:rPr>
              <m:t>AD</m:t>
            </m:r>
            <m:ctrlPr>
              <w:rPr>
                <w:rFonts w:ascii="Cambria Math" w:hAnsi="Cambria Math"/>
                <w:iCs/>
                <w:highlight w:val="none"/>
              </w:rPr>
            </m:ctrlPr>
          </m:e>
          <m:sub>
            <m:r>
              <m:rPr>
                <m:sty m:val="p"/>
              </m:rPr>
              <w:rPr>
                <w:rFonts w:ascii="Cambria Math" w:hAnsi="Cambria Math"/>
                <w:highlight w:val="none"/>
              </w:rPr>
              <m:t>w</m:t>
            </m:r>
            <m:ctrlPr>
              <w:rPr>
                <w:rFonts w:ascii="Cambria Math" w:hAnsi="Cambria Math"/>
                <w:iCs/>
                <w:highlight w:val="none"/>
              </w:rPr>
            </m:ctrlPr>
          </m:sub>
        </m:sSub>
        <m:r>
          <m:rPr>
            <m:sty m:val="p"/>
          </m:rPr>
          <w:rPr>
            <w:rFonts w:ascii="Cambria Math" w:hAnsi="Cambria Math"/>
            <w:highlight w:val="none"/>
          </w:rPr>
          <m:t>=</m:t>
        </m:r>
        <m:sSub>
          <m:sSubPr>
            <m:ctrlPr>
              <w:rPr>
                <w:rFonts w:ascii="Cambria Math" w:hAnsi="Cambria Math"/>
                <w:iCs/>
                <w:highlight w:val="none"/>
              </w:rPr>
            </m:ctrlPr>
          </m:sSubPr>
          <m:e>
            <m:r>
              <m:rPr>
                <m:sty m:val="p"/>
              </m:rPr>
              <w:rPr>
                <w:rFonts w:ascii="Cambria Math" w:hAnsi="Cambria Math"/>
                <w:highlight w:val="none"/>
              </w:rPr>
              <m:t>Ma</m:t>
            </m:r>
            <m:ctrlPr>
              <w:rPr>
                <w:rFonts w:ascii="Cambria Math" w:hAnsi="Cambria Math"/>
                <w:iCs/>
                <w:highlight w:val="none"/>
              </w:rPr>
            </m:ctrlPr>
          </m:e>
          <m:sub>
            <m:r>
              <m:rPr>
                <m:sty m:val="p"/>
              </m:rPr>
              <w:rPr>
                <w:rFonts w:ascii="Cambria Math" w:hAnsi="Cambria Math"/>
                <w:highlight w:val="none"/>
              </w:rPr>
              <m:t>w</m:t>
            </m:r>
            <m:ctrlPr>
              <w:rPr>
                <w:rFonts w:ascii="Cambria Math" w:hAnsi="Cambria Math"/>
                <w:iCs/>
                <w:highlight w:val="none"/>
              </w:rPr>
            </m:ctrlPr>
          </m:sub>
        </m:sSub>
        <m:r>
          <m:rPr>
            <m:sty m:val="p"/>
          </m:rPr>
          <w:rPr>
            <w:rFonts w:ascii="Cambria Math" w:hAnsi="Cambria Math"/>
            <w:highlight w:val="none"/>
          </w:rPr>
          <m:t>×(</m:t>
        </m:r>
        <m:sSub>
          <m:sSubPr>
            <m:ctrlPr>
              <w:rPr>
                <w:rFonts w:ascii="Cambria Math" w:hAnsi="Cambria Math"/>
                <w:iCs/>
                <w:highlight w:val="none"/>
              </w:rPr>
            </m:ctrlPr>
          </m:sSubPr>
          <m:e>
            <m:r>
              <m:rPr>
                <m:sty m:val="p"/>
              </m:rPr>
              <w:rPr>
                <w:rFonts w:ascii="Cambria Math" w:hAnsi="Cambria Math"/>
                <w:highlight w:val="none"/>
              </w:rPr>
              <m:t>T</m:t>
            </m:r>
            <m:ctrlPr>
              <w:rPr>
                <w:rFonts w:ascii="Cambria Math" w:hAnsi="Cambria Math"/>
                <w:iCs/>
                <w:highlight w:val="none"/>
              </w:rPr>
            </m:ctrlPr>
          </m:e>
          <m:sub>
            <m:r>
              <m:rPr>
                <m:sty m:val="p"/>
              </m:rPr>
              <w:rPr>
                <w:rFonts w:ascii="Cambria Math" w:hAnsi="Cambria Math"/>
                <w:highlight w:val="none"/>
              </w:rPr>
              <m:t>w</m:t>
            </m:r>
            <m:ctrlPr>
              <w:rPr>
                <w:rFonts w:ascii="Cambria Math" w:hAnsi="Cambria Math"/>
                <w:iCs/>
                <w:highlight w:val="none"/>
              </w:rPr>
            </m:ctrlPr>
          </m:sub>
        </m:sSub>
        <m:r>
          <m:rPr>
            <m:sty m:val="p"/>
          </m:rPr>
          <w:rPr>
            <w:rFonts w:ascii="Cambria Math" w:hAnsi="Cambria Math"/>
            <w:highlight w:val="none"/>
          </w:rPr>
          <m:t>−20)×4.1868×</m:t>
        </m:r>
        <m:sSup>
          <m:sSupPr>
            <m:ctrlPr>
              <w:rPr>
                <w:rFonts w:ascii="Cambria Math" w:hAnsi="Cambria Math"/>
                <w:iCs/>
                <w:highlight w:val="none"/>
              </w:rPr>
            </m:ctrlPr>
          </m:sSupPr>
          <m:e>
            <m:r>
              <m:rPr>
                <m:sty m:val="p"/>
              </m:rPr>
              <w:rPr>
                <w:rFonts w:ascii="Cambria Math" w:hAnsi="Cambria Math"/>
                <w:highlight w:val="none"/>
              </w:rPr>
              <m:t>10</m:t>
            </m:r>
            <m:ctrlPr>
              <w:rPr>
                <w:rFonts w:ascii="Cambria Math" w:hAnsi="Cambria Math"/>
                <w:iCs/>
                <w:highlight w:val="none"/>
              </w:rPr>
            </m:ctrlPr>
          </m:e>
          <m:sup>
            <m:r>
              <m:rPr>
                <m:sty m:val="p"/>
              </m:rPr>
              <w:rPr>
                <w:rFonts w:ascii="Cambria Math" w:hAnsi="Cambria Math"/>
                <w:highlight w:val="none"/>
              </w:rPr>
              <m:t>−3</m:t>
            </m:r>
            <m:ctrlPr>
              <w:rPr>
                <w:rFonts w:ascii="Cambria Math" w:hAnsi="Cambria Math"/>
                <w:iCs/>
                <w:highlight w:val="none"/>
              </w:rPr>
            </m:ctrlPr>
          </m:sup>
        </m:sSup>
      </m:oMath>
      <w:r>
        <w:rPr>
          <w:rFonts w:ascii="Times New Roman" w:hAnsi="Times New Roman" w:eastAsia="微软雅黑"/>
          <w:highlight w:val="none"/>
        </w:rPr>
        <w:tab/>
      </w:r>
      <w:r>
        <w:rPr>
          <w:rFonts w:hint="eastAsia" w:ascii="Times New Roman" w:hAnsi="Times New Roman"/>
          <w:highlight w:val="none"/>
        </w:rPr>
        <w:t>（</w:t>
      </w:r>
      <w:r>
        <w:rPr>
          <w:rFonts w:hint="eastAsia" w:ascii="Times New Roman" w:hAnsi="Times New Roman"/>
          <w:highlight w:val="none"/>
          <w:lang w:val="en-US" w:eastAsia="zh-CN"/>
        </w:rPr>
        <w:t>7</w:t>
      </w:r>
      <w:r>
        <w:rPr>
          <w:rFonts w:hint="eastAsia" w:ascii="Times New Roman" w:hAnsi="Times New Roman"/>
          <w:highlight w:val="none"/>
        </w:rPr>
        <w:t>）</w:t>
      </w:r>
    </w:p>
    <w:p>
      <w:pPr>
        <w:pStyle w:val="229"/>
        <w:rPr>
          <w:rFonts w:ascii="Times New Roman"/>
          <w:highlight w:val="none"/>
        </w:rPr>
      </w:pPr>
      <w:r>
        <w:rPr>
          <w:rFonts w:ascii="Times New Roman"/>
          <w:highlight w:val="none"/>
        </w:rPr>
        <w:t>式中：</w:t>
      </w:r>
    </w:p>
    <w:tbl>
      <w:tblPr>
        <w:tblStyle w:val="27"/>
        <w:tblW w:w="9071"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7"/>
        <w:gridCol w:w="340"/>
        <w:gridCol w:w="7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56"/>
              <w:adjustRightInd w:val="0"/>
              <w:snapToGrid w:val="0"/>
              <w:ind w:firstLine="0" w:firstLineChars="0"/>
              <w:rPr>
                <w:rFonts w:ascii="Times New Roman"/>
                <w:iCs/>
                <w:highlight w:val="none"/>
              </w:rPr>
            </w:pPr>
            <m:oMathPara>
              <m:oMathParaPr>
                <m:jc m:val="left"/>
              </m:oMathParaPr>
              <m:oMath>
                <m:sSub>
                  <m:sSubPr>
                    <m:ctrlPr>
                      <w:rPr>
                        <w:rFonts w:ascii="Cambria Math" w:hAnsi="Cambria Math"/>
                        <w:i/>
                        <w:highlight w:val="none"/>
                      </w:rPr>
                    </m:ctrlPr>
                  </m:sSubPr>
                  <m:e>
                    <m:r>
                      <m:rPr/>
                      <w:rPr>
                        <w:rFonts w:ascii="Cambria Math" w:hAnsi="Cambria Math"/>
                        <w:highlight w:val="none"/>
                      </w:rPr>
                      <m:t>AD</m:t>
                    </m:r>
                    <m:ctrlPr>
                      <w:rPr>
                        <w:rFonts w:ascii="Cambria Math" w:hAnsi="Cambria Math"/>
                        <w:i/>
                        <w:highlight w:val="none"/>
                      </w:rPr>
                    </m:ctrlPr>
                  </m:e>
                  <m:sub>
                    <m:r>
                      <m:rPr/>
                      <w:rPr>
                        <w:rFonts w:ascii="Cambria Math" w:hAnsi="Cambria Math"/>
                        <w:highlight w:val="none"/>
                      </w:rPr>
                      <m:t>w</m:t>
                    </m:r>
                    <m:ctrlPr>
                      <w:rPr>
                        <w:rFonts w:ascii="Cambria Math" w:hAnsi="Cambria Math"/>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994" w:type="dxa"/>
          </w:tcPr>
          <w:p>
            <w:pPr>
              <w:pStyle w:val="56"/>
              <w:adjustRightInd w:val="0"/>
              <w:snapToGrid w:val="0"/>
              <w:ind w:left="-105" w:leftChars="-50" w:firstLine="0" w:firstLineChars="0"/>
              <w:rPr>
                <w:rFonts w:ascii="Times New Roman"/>
                <w:highlight w:val="none"/>
              </w:rPr>
            </w:pPr>
            <w:r>
              <w:rPr>
                <w:rFonts w:ascii="Times New Roman"/>
                <w:highlight w:val="none"/>
              </w:rPr>
              <w:t>热水的热量，</w:t>
            </w:r>
            <w:r>
              <w:rPr>
                <w:rFonts w:hint="eastAsia" w:ascii="Times New Roman"/>
                <w:highlight w:val="none"/>
              </w:rPr>
              <w:t>以</w:t>
            </w:r>
            <w:r>
              <w:rPr>
                <w:rFonts w:ascii="Times New Roman"/>
                <w:highlight w:val="none"/>
              </w:rPr>
              <w:t>吉焦（GJ）</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56"/>
              <w:adjustRightInd w:val="0"/>
              <w:snapToGrid w:val="0"/>
              <w:ind w:firstLine="0" w:firstLineChars="0"/>
              <w:rPr>
                <w:rFonts w:ascii="Times New Roman"/>
                <w:highlight w:val="none"/>
              </w:rPr>
            </w:pPr>
            <m:oMathPara>
              <m:oMathParaPr>
                <m:jc m:val="left"/>
              </m:oMathParaPr>
              <m:oMath>
                <m:sSub>
                  <m:sSubPr>
                    <m:ctrlPr>
                      <w:rPr>
                        <w:rFonts w:ascii="Cambria Math" w:hAnsi="Cambria Math"/>
                        <w:i/>
                        <w:highlight w:val="none"/>
                      </w:rPr>
                    </m:ctrlPr>
                  </m:sSubPr>
                  <m:e>
                    <m:r>
                      <m:rPr/>
                      <w:rPr>
                        <w:rFonts w:ascii="Cambria Math" w:hAnsi="Cambria Math"/>
                        <w:highlight w:val="none"/>
                      </w:rPr>
                      <m:t>Ma</m:t>
                    </m:r>
                    <m:ctrlPr>
                      <w:rPr>
                        <w:rFonts w:ascii="Cambria Math" w:hAnsi="Cambria Math"/>
                        <w:i/>
                        <w:highlight w:val="none"/>
                      </w:rPr>
                    </m:ctrlPr>
                  </m:e>
                  <m:sub>
                    <m:r>
                      <m:rPr/>
                      <w:rPr>
                        <w:rFonts w:ascii="Cambria Math" w:hAnsi="Cambria Math"/>
                        <w:highlight w:val="none"/>
                      </w:rPr>
                      <m:t>w</m:t>
                    </m:r>
                    <m:ctrlPr>
                      <w:rPr>
                        <w:rFonts w:ascii="Cambria Math" w:hAnsi="Cambria Math"/>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994" w:type="dxa"/>
          </w:tcPr>
          <w:p>
            <w:pPr>
              <w:pStyle w:val="56"/>
              <w:adjustRightInd w:val="0"/>
              <w:snapToGrid w:val="0"/>
              <w:ind w:left="-105" w:leftChars="-50" w:firstLine="0" w:firstLineChars="0"/>
              <w:rPr>
                <w:rFonts w:ascii="Times New Roman"/>
                <w:highlight w:val="none"/>
              </w:rPr>
            </w:pPr>
            <w:r>
              <w:rPr>
                <w:rFonts w:ascii="Times New Roman"/>
                <w:highlight w:val="none"/>
              </w:rPr>
              <w:t>热水的质量，</w:t>
            </w:r>
            <w:r>
              <w:rPr>
                <w:rFonts w:hint="eastAsia" w:ascii="Times New Roman"/>
                <w:highlight w:val="none"/>
              </w:rPr>
              <w:t>以</w:t>
            </w:r>
            <w:r>
              <w:rPr>
                <w:rFonts w:ascii="Times New Roman"/>
                <w:highlight w:val="none"/>
              </w:rPr>
              <w:t>吨（t）</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56"/>
              <w:adjustRightInd w:val="0"/>
              <w:snapToGrid w:val="0"/>
              <w:ind w:firstLine="0" w:firstLineChars="0"/>
              <w:rPr>
                <w:rFonts w:ascii="Times New Roman"/>
                <w:highlight w:val="none"/>
              </w:rPr>
            </w:pPr>
            <m:oMathPara>
              <m:oMathParaPr>
                <m:jc m:val="left"/>
              </m:oMathParaPr>
              <m:oMath>
                <m:sSub>
                  <m:sSubPr>
                    <m:ctrlPr>
                      <w:rPr>
                        <w:rFonts w:ascii="Cambria Math" w:hAnsi="Cambria Math"/>
                        <w:i/>
                        <w:highlight w:val="none"/>
                      </w:rPr>
                    </m:ctrlPr>
                  </m:sSubPr>
                  <m:e>
                    <m:r>
                      <m:rPr/>
                      <w:rPr>
                        <w:rFonts w:ascii="Cambria Math" w:hAnsi="Cambria Math"/>
                        <w:highlight w:val="none"/>
                      </w:rPr>
                      <m:t>T</m:t>
                    </m:r>
                    <m:ctrlPr>
                      <w:rPr>
                        <w:rFonts w:ascii="Cambria Math" w:hAnsi="Cambria Math"/>
                        <w:i/>
                        <w:highlight w:val="none"/>
                      </w:rPr>
                    </m:ctrlPr>
                  </m:e>
                  <m:sub>
                    <m:r>
                      <m:rPr/>
                      <w:rPr>
                        <w:rFonts w:ascii="Cambria Math" w:hAnsi="Cambria Math"/>
                        <w:highlight w:val="none"/>
                      </w:rPr>
                      <m:t>w</m:t>
                    </m:r>
                    <m:ctrlPr>
                      <w:rPr>
                        <w:rFonts w:ascii="Cambria Math" w:hAnsi="Cambria Math"/>
                        <w:i/>
                        <w:highlight w:val="none"/>
                      </w:rPr>
                    </m:ctrlPr>
                  </m:sub>
                </m:sSub>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994" w:type="dxa"/>
          </w:tcPr>
          <w:p>
            <w:pPr>
              <w:pStyle w:val="56"/>
              <w:adjustRightInd w:val="0"/>
              <w:snapToGrid w:val="0"/>
              <w:ind w:left="-105" w:leftChars="-50" w:firstLine="0" w:firstLineChars="0"/>
              <w:rPr>
                <w:rFonts w:ascii="Times New Roman"/>
                <w:highlight w:val="none"/>
              </w:rPr>
            </w:pPr>
            <w:r>
              <w:rPr>
                <w:rFonts w:ascii="Times New Roman"/>
                <w:highlight w:val="none"/>
              </w:rPr>
              <w:t>热水的温度，</w:t>
            </w:r>
            <w:r>
              <w:rPr>
                <w:rFonts w:hint="eastAsia" w:ascii="Times New Roman"/>
                <w:highlight w:val="none"/>
              </w:rPr>
              <w:t>以</w:t>
            </w:r>
            <w:r>
              <w:rPr>
                <w:rFonts w:ascii="Times New Roman"/>
                <w:highlight w:val="none"/>
              </w:rPr>
              <w:t>摄氏度（℃）</w:t>
            </w:r>
            <w:r>
              <w:rPr>
                <w:rFonts w:hint="eastAsia" w:ascii="Times New Roman"/>
                <w:highlight w:val="none"/>
              </w:rPr>
              <w:t>计</w:t>
            </w:r>
            <w:r>
              <w:rPr>
                <w:rFonts w:ascii="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highlight w:val="none"/>
                  </w:rPr>
                  <m:t>20</m:t>
                </m:r>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994" w:type="dxa"/>
          </w:tcPr>
          <w:p>
            <w:pPr>
              <w:pStyle w:val="56"/>
              <w:adjustRightInd w:val="0"/>
              <w:snapToGrid w:val="0"/>
              <w:ind w:left="-105" w:leftChars="-50" w:firstLine="0" w:firstLineChars="0"/>
              <w:rPr>
                <w:rFonts w:ascii="Times New Roman"/>
                <w:highlight w:val="none"/>
              </w:rPr>
            </w:pPr>
            <w:r>
              <w:rPr>
                <w:rFonts w:ascii="Times New Roman"/>
                <w:highlight w:val="none"/>
              </w:rPr>
              <w:t>常温下水的温度，</w:t>
            </w:r>
            <w:r>
              <w:rPr>
                <w:rFonts w:hint="eastAsia" w:ascii="Times New Roman"/>
                <w:highlight w:val="none"/>
              </w:rPr>
              <w:t>以</w:t>
            </w:r>
            <w:r>
              <w:rPr>
                <w:rFonts w:ascii="Times New Roman"/>
                <w:highlight w:val="none"/>
              </w:rPr>
              <w:t>摄氏度（℃）</w:t>
            </w:r>
            <w:r>
              <w:rPr>
                <w:rFonts w:hint="eastAsia" w:ascii="Times New Roman"/>
                <w:highlight w:val="none"/>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737" w:type="dxa"/>
          </w:tcPr>
          <w:p>
            <w:pPr>
              <w:pStyle w:val="56"/>
              <w:adjustRightInd w:val="0"/>
              <w:snapToGrid w:val="0"/>
              <w:ind w:firstLine="0" w:firstLineChars="0"/>
              <w:rPr>
                <w:rFonts w:ascii="Calibri" w:hAnsi="Calibri"/>
                <w:highlight w:val="none"/>
              </w:rPr>
            </w:pPr>
            <m:oMathPara>
              <m:oMathParaPr>
                <m:jc m:val="left"/>
              </m:oMathParaPr>
              <m:oMath>
                <m:r>
                  <m:rPr/>
                  <w:rPr>
                    <w:rFonts w:ascii="Cambria Math" w:hAnsi="Cambria Math"/>
                    <w:highlight w:val="none"/>
                  </w:rPr>
                  <m:t>4.1868</m:t>
                </m:r>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7994" w:type="dxa"/>
          </w:tcPr>
          <w:p>
            <w:pPr>
              <w:pStyle w:val="56"/>
              <w:adjustRightInd w:val="0"/>
              <w:snapToGrid w:val="0"/>
              <w:ind w:left="-105" w:leftChars="-50" w:firstLine="0" w:firstLineChars="0"/>
              <w:rPr>
                <w:rFonts w:ascii="Times New Roman"/>
                <w:highlight w:val="none"/>
              </w:rPr>
            </w:pPr>
            <w:r>
              <w:rPr>
                <w:rFonts w:ascii="Times New Roman"/>
                <w:highlight w:val="none"/>
              </w:rPr>
              <w:t>水在常温常压下的比热，</w:t>
            </w:r>
            <w:r>
              <w:rPr>
                <w:rFonts w:hint="eastAsia" w:ascii="Times New Roman"/>
                <w:highlight w:val="none"/>
              </w:rPr>
              <w:t>以</w:t>
            </w:r>
            <w:r>
              <w:rPr>
                <w:rFonts w:ascii="Times New Roman"/>
                <w:highlight w:val="none"/>
              </w:rPr>
              <w:t>千焦每千克每摄氏度[kJ/(kg∙℃)]</w:t>
            </w:r>
            <w:r>
              <w:rPr>
                <w:rFonts w:hint="eastAsia" w:ascii="Times New Roman"/>
                <w:highlight w:val="none"/>
              </w:rPr>
              <w:t>计</w:t>
            </w:r>
            <w:r>
              <w:rPr>
                <w:rFonts w:ascii="Times New Roman"/>
                <w:highlight w:val="none"/>
              </w:rPr>
              <w:t>。</w:t>
            </w:r>
          </w:p>
        </w:tc>
      </w:tr>
    </w:tbl>
    <w:p>
      <w:pPr>
        <w:pStyle w:val="65"/>
        <w:spacing w:before="156" w:after="156"/>
        <w:rPr>
          <w:rFonts w:hint="eastAsia" w:ascii="Times New Roman"/>
          <w:highlight w:val="none"/>
        </w:rPr>
      </w:pPr>
      <w:r>
        <w:rPr>
          <w:rFonts w:hint="eastAsia" w:ascii="Times New Roman"/>
          <w:highlight w:val="none"/>
        </w:rPr>
        <w:t>数据</w:t>
      </w:r>
      <w:r>
        <w:rPr>
          <w:rFonts w:hint="eastAsia" w:ascii="Times New Roman"/>
          <w:highlight w:val="none"/>
          <w:lang w:val="en-US" w:eastAsia="zh-CN"/>
        </w:rPr>
        <w:t>的监测与获取</w:t>
      </w:r>
    </w:p>
    <w:p>
      <w:pPr>
        <w:pStyle w:val="94"/>
        <w:spacing w:before="156" w:after="156"/>
        <w:rPr>
          <w:rFonts w:hint="eastAsia" w:ascii="Times New Roman"/>
          <w:highlight w:val="none"/>
          <w:lang w:val="en-US" w:eastAsia="zh-CN"/>
        </w:rPr>
      </w:pPr>
      <w:r>
        <w:rPr>
          <w:rFonts w:hint="eastAsia" w:ascii="Times New Roman"/>
          <w:highlight w:val="none"/>
          <w:lang w:val="en-US" w:eastAsia="zh-CN"/>
        </w:rPr>
        <w:t>购入热力量</w:t>
      </w:r>
    </w:p>
    <w:p>
      <w:pPr>
        <w:pStyle w:val="56"/>
        <w:ind w:firstLine="420"/>
        <w:rPr>
          <w:rFonts w:ascii="Times New Roman"/>
          <w:highlight w:val="none"/>
        </w:rPr>
      </w:pPr>
      <w:r>
        <w:rPr>
          <w:rFonts w:ascii="Times New Roman"/>
          <w:highlight w:val="none"/>
        </w:rPr>
        <w:t>企业应按GB 17167</w:t>
      </w:r>
      <w:r>
        <w:rPr>
          <w:rFonts w:hint="eastAsia" w:ascii="Times New Roman"/>
          <w:highlight w:val="none"/>
        </w:rPr>
        <w:t>和</w:t>
      </w:r>
      <w:r>
        <w:rPr>
          <w:rFonts w:ascii="Times New Roman"/>
          <w:highlight w:val="none"/>
        </w:rPr>
        <w:t>GB/T 24851的要求配备热力计量器具，热力的计量要求见表4。</w:t>
      </w:r>
    </w:p>
    <w:p>
      <w:pPr>
        <w:pStyle w:val="112"/>
        <w:spacing w:before="156" w:after="156"/>
        <w:rPr>
          <w:rFonts w:ascii="Times New Roman"/>
          <w:highlight w:val="none"/>
        </w:rPr>
      </w:pPr>
      <w:r>
        <w:rPr>
          <w:rFonts w:ascii="Times New Roman"/>
          <w:highlight w:val="none"/>
        </w:rPr>
        <w:t>热力计量要求</w:t>
      </w:r>
    </w:p>
    <w:tbl>
      <w:tblPr>
        <w:tblStyle w:val="26"/>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3198"/>
        <w:gridCol w:w="1177"/>
        <w:gridCol w:w="1515"/>
        <w:gridCol w:w="1177"/>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172" w:type="dxa"/>
            <w:vAlign w:val="center"/>
          </w:tcPr>
          <w:p>
            <w:pPr>
              <w:pStyle w:val="229"/>
              <w:ind w:firstLine="0" w:firstLineChars="0"/>
              <w:jc w:val="center"/>
              <w:rPr>
                <w:rFonts w:ascii="Times New Roman"/>
                <w:b/>
                <w:bCs/>
                <w:sz w:val="18"/>
                <w:szCs w:val="18"/>
                <w:highlight w:val="none"/>
              </w:rPr>
            </w:pPr>
            <w:r>
              <w:rPr>
                <w:rFonts w:hint="eastAsia" w:ascii="Times New Roman"/>
                <w:b/>
                <w:bCs/>
                <w:sz w:val="18"/>
                <w:szCs w:val="18"/>
                <w:highlight w:val="none"/>
              </w:rPr>
              <w:t>热力类型</w:t>
            </w:r>
          </w:p>
        </w:tc>
        <w:tc>
          <w:tcPr>
            <w:tcW w:w="3198"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准确度等级</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计量设备溯源方式</w:t>
            </w:r>
          </w:p>
        </w:tc>
        <w:tc>
          <w:tcPr>
            <w:tcW w:w="1515"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溯源频次</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计量频次</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b/>
                <w:sz w:val="18"/>
                <w:szCs w:val="18"/>
                <w:highlight w:val="none"/>
              </w:rPr>
              <w:t>记录频次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172" w:type="dxa"/>
            <w:vAlign w:val="center"/>
          </w:tcPr>
          <w:p>
            <w:pPr>
              <w:pStyle w:val="229"/>
              <w:ind w:firstLine="0" w:firstLineChars="0"/>
              <w:jc w:val="center"/>
              <w:rPr>
                <w:rFonts w:ascii="Times New Roman"/>
                <w:sz w:val="18"/>
                <w:szCs w:val="18"/>
                <w:highlight w:val="none"/>
              </w:rPr>
            </w:pPr>
            <w:r>
              <w:rPr>
                <w:rFonts w:ascii="Times New Roman"/>
                <w:sz w:val="18"/>
                <w:szCs w:val="18"/>
                <w:highlight w:val="none"/>
              </w:rPr>
              <w:t>蒸汽</w:t>
            </w:r>
          </w:p>
        </w:tc>
        <w:tc>
          <w:tcPr>
            <w:tcW w:w="3198"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蒸汽流量表：2.0</w:t>
            </w:r>
          </w:p>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温度表：0.5</w:t>
            </w:r>
          </w:p>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压力表：0.5</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检定/校准</w:t>
            </w:r>
          </w:p>
        </w:tc>
        <w:tc>
          <w:tcPr>
            <w:tcW w:w="1515"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1次/12个月</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连续</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172" w:type="dxa"/>
            <w:vAlign w:val="center"/>
          </w:tcPr>
          <w:p>
            <w:pPr>
              <w:pStyle w:val="229"/>
              <w:ind w:firstLine="0" w:firstLineChars="0"/>
              <w:jc w:val="center"/>
              <w:rPr>
                <w:rFonts w:ascii="Times New Roman"/>
                <w:sz w:val="18"/>
                <w:szCs w:val="18"/>
                <w:highlight w:val="none"/>
              </w:rPr>
            </w:pPr>
            <w:r>
              <w:rPr>
                <w:rFonts w:ascii="Times New Roman"/>
                <w:sz w:val="18"/>
                <w:szCs w:val="18"/>
                <w:highlight w:val="none"/>
              </w:rPr>
              <w:t>热水</w:t>
            </w:r>
          </w:p>
        </w:tc>
        <w:tc>
          <w:tcPr>
            <w:tcW w:w="3198" w:type="dxa"/>
            <w:vAlign w:val="center"/>
          </w:tcPr>
          <w:p>
            <w:pPr>
              <w:pStyle w:val="233"/>
              <w:numPr>
                <w:ilvl w:val="0"/>
                <w:numId w:val="0"/>
              </w:numPr>
              <w:spacing w:before="0" w:beforeLines="0" w:after="0" w:afterLines="0"/>
              <w:ind w:left="-105" w:leftChars="-50" w:right="-105" w:rightChars="-50"/>
              <w:jc w:val="center"/>
              <w:outlineLvl w:val="9"/>
              <w:rPr>
                <w:rFonts w:ascii="Times New Roman" w:eastAsia="宋体"/>
                <w:sz w:val="18"/>
                <w:szCs w:val="18"/>
                <w:highlight w:val="none"/>
              </w:rPr>
            </w:pPr>
            <w:r>
              <w:rPr>
                <w:rFonts w:ascii="Times New Roman" w:eastAsia="宋体"/>
                <w:sz w:val="18"/>
                <w:szCs w:val="18"/>
                <w:highlight w:val="none"/>
              </w:rPr>
              <w:t>水流量表（管径≤200mm）：2.0</w:t>
            </w:r>
          </w:p>
          <w:p>
            <w:pPr>
              <w:pStyle w:val="229"/>
              <w:ind w:left="-105" w:leftChars="-50" w:right="-105" w:rightChars="-50" w:firstLine="0" w:firstLineChars="0"/>
              <w:jc w:val="center"/>
              <w:rPr>
                <w:rFonts w:ascii="Times New Roman"/>
                <w:sz w:val="18"/>
                <w:szCs w:val="18"/>
                <w:highlight w:val="none"/>
              </w:rPr>
            </w:pPr>
            <w:r>
              <w:rPr>
                <w:rFonts w:ascii="Times New Roman"/>
                <w:sz w:val="18"/>
                <w:szCs w:val="18"/>
                <w:highlight w:val="none"/>
              </w:rPr>
              <w:t>水流量表（管径&gt;200mm）：1.5</w:t>
            </w:r>
          </w:p>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温度表：0.5</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检定/校准</w:t>
            </w:r>
          </w:p>
        </w:tc>
        <w:tc>
          <w:tcPr>
            <w:tcW w:w="1515"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1次/12个月</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连续</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172" w:type="dxa"/>
            <w:vAlign w:val="center"/>
          </w:tcPr>
          <w:p>
            <w:pPr>
              <w:pStyle w:val="229"/>
              <w:ind w:firstLine="0" w:firstLineChars="0"/>
              <w:jc w:val="center"/>
              <w:rPr>
                <w:rFonts w:ascii="Times New Roman"/>
                <w:sz w:val="18"/>
                <w:szCs w:val="18"/>
                <w:highlight w:val="none"/>
              </w:rPr>
            </w:pPr>
            <w:r>
              <w:rPr>
                <w:rFonts w:ascii="Times New Roman"/>
                <w:sz w:val="18"/>
                <w:szCs w:val="18"/>
                <w:highlight w:val="none"/>
              </w:rPr>
              <w:t>导热油</w:t>
            </w:r>
          </w:p>
        </w:tc>
        <w:tc>
          <w:tcPr>
            <w:tcW w:w="3198"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成品油流量表： 0.3</w:t>
            </w:r>
          </w:p>
          <w:p>
            <w:pPr>
              <w:pStyle w:val="233"/>
              <w:numPr>
                <w:ilvl w:val="0"/>
                <w:numId w:val="0"/>
              </w:numPr>
              <w:spacing w:before="0" w:beforeLines="0" w:after="0" w:afterLines="0"/>
              <w:jc w:val="center"/>
              <w:outlineLvl w:val="9"/>
              <w:rPr>
                <w:rFonts w:ascii="Times New Roman" w:eastAsia="宋体"/>
                <w:highlight w:val="none"/>
              </w:rPr>
            </w:pPr>
            <w:r>
              <w:rPr>
                <w:rFonts w:ascii="Times New Roman" w:eastAsia="宋体"/>
                <w:sz w:val="18"/>
                <w:szCs w:val="18"/>
                <w:highlight w:val="none"/>
              </w:rPr>
              <w:t>重油、渣油流量表：0.5</w:t>
            </w:r>
          </w:p>
          <w:p>
            <w:pPr>
              <w:pStyle w:val="233"/>
              <w:numPr>
                <w:ilvl w:val="0"/>
                <w:numId w:val="0"/>
              </w:numPr>
              <w:spacing w:before="0" w:beforeLines="0" w:after="0" w:afterLines="0"/>
              <w:jc w:val="center"/>
              <w:outlineLvl w:val="9"/>
              <w:rPr>
                <w:rFonts w:ascii="Times New Roman" w:eastAsia="宋体"/>
                <w:highlight w:val="none"/>
              </w:rPr>
            </w:pPr>
            <w:r>
              <w:rPr>
                <w:rFonts w:ascii="Times New Roman" w:eastAsia="宋体"/>
                <w:sz w:val="18"/>
                <w:szCs w:val="18"/>
                <w:highlight w:val="none"/>
              </w:rPr>
              <w:t>温度表：0.5</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检定/校准</w:t>
            </w:r>
          </w:p>
        </w:tc>
        <w:tc>
          <w:tcPr>
            <w:tcW w:w="1515"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1次/12个月</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连续</w:t>
            </w:r>
          </w:p>
        </w:tc>
        <w:tc>
          <w:tcPr>
            <w:tcW w:w="1177" w:type="dxa"/>
            <w:vAlign w:val="center"/>
          </w:tcPr>
          <w:p>
            <w:pPr>
              <w:pStyle w:val="233"/>
              <w:numPr>
                <w:ilvl w:val="0"/>
                <w:numId w:val="0"/>
              </w:numPr>
              <w:spacing w:before="0" w:beforeLines="0" w:after="0" w:afterLines="0"/>
              <w:jc w:val="center"/>
              <w:outlineLvl w:val="9"/>
              <w:rPr>
                <w:rFonts w:ascii="Times New Roman" w:eastAsia="宋体"/>
                <w:sz w:val="18"/>
                <w:szCs w:val="18"/>
                <w:highlight w:val="none"/>
              </w:rPr>
            </w:pPr>
            <w:r>
              <w:rPr>
                <w:rFonts w:ascii="Times New Roman" w:eastAsia="宋体"/>
                <w:sz w:val="18"/>
                <w:szCs w:val="18"/>
                <w:highlight w:val="none"/>
              </w:rPr>
              <w:t>每月</w:t>
            </w:r>
          </w:p>
        </w:tc>
      </w:tr>
    </w:tbl>
    <w:p>
      <w:pPr>
        <w:pStyle w:val="56"/>
        <w:ind w:firstLine="420"/>
        <w:rPr>
          <w:rFonts w:ascii="Times New Roman"/>
          <w:highlight w:val="none"/>
        </w:rPr>
      </w:pPr>
      <w:r>
        <w:rPr>
          <w:rFonts w:hint="eastAsia" w:ascii="Times New Roman"/>
          <w:highlight w:val="none"/>
        </w:rPr>
        <w:t>购入热量和外供热量应采用流量表、热量表记录的计量数据，或供应商提供的热力结算凭证上的数据。</w:t>
      </w:r>
    </w:p>
    <w:p>
      <w:pPr>
        <w:pStyle w:val="56"/>
        <w:ind w:firstLine="420"/>
        <w:rPr>
          <w:rFonts w:ascii="Times New Roman"/>
          <w:highlight w:val="none"/>
        </w:rPr>
      </w:pPr>
      <w:r>
        <w:rPr>
          <w:rFonts w:hint="eastAsia" w:ascii="Times New Roman"/>
          <w:highlight w:val="none"/>
        </w:rPr>
        <w:t>蒸汽及热水温度、压力数据采用计量或控制系统的监测数据的月度算术平均值，数据不可得时也可采用运行参数范围内的经验值。</w:t>
      </w:r>
    </w:p>
    <w:p>
      <w:pPr>
        <w:pStyle w:val="94"/>
        <w:spacing w:before="156" w:after="156"/>
        <w:rPr>
          <w:rFonts w:hint="eastAsia" w:ascii="Times New Roman"/>
          <w:highlight w:val="none"/>
          <w:lang w:val="en-US" w:eastAsia="zh-CN"/>
        </w:rPr>
      </w:pPr>
      <w:r>
        <w:rPr>
          <w:rFonts w:hint="eastAsia" w:ascii="Times New Roman"/>
          <w:highlight w:val="none"/>
          <w:lang w:val="en-US" w:eastAsia="zh-CN"/>
        </w:rPr>
        <w:t>热力排放因子</w:t>
      </w:r>
    </w:p>
    <w:p>
      <w:pPr>
        <w:pStyle w:val="56"/>
        <w:ind w:firstLine="420"/>
        <w:rPr>
          <w:rFonts w:ascii="Times New Roman"/>
          <w:highlight w:val="none"/>
        </w:rPr>
      </w:pPr>
      <w:r>
        <w:rPr>
          <w:rFonts w:ascii="Times New Roman"/>
          <w:highlight w:val="none"/>
        </w:rPr>
        <w:t>热力</w:t>
      </w:r>
      <w:r>
        <w:rPr>
          <w:rFonts w:hint="eastAsia" w:ascii="Times New Roman"/>
          <w:highlight w:val="none"/>
        </w:rPr>
        <w:t>的二氧化碳</w:t>
      </w:r>
      <w:r>
        <w:rPr>
          <w:rFonts w:ascii="Times New Roman"/>
          <w:highlight w:val="none"/>
        </w:rPr>
        <w:t>排放因子优先采用供热单位的实测值</w:t>
      </w:r>
      <w:r>
        <w:rPr>
          <w:rFonts w:hint="eastAsia" w:ascii="Times New Roman"/>
          <w:highlight w:val="none"/>
        </w:rPr>
        <w:t>；</w:t>
      </w:r>
      <w:r>
        <w:rPr>
          <w:rFonts w:hint="eastAsia"/>
          <w:szCs w:val="21"/>
          <w:highlight w:val="none"/>
        </w:rPr>
        <w:t>若无实测值</w:t>
      </w:r>
      <w:r>
        <w:rPr>
          <w:rFonts w:hint="eastAsia" w:ascii="Times New Roman"/>
          <w:highlight w:val="none"/>
        </w:rPr>
        <w:t>，可采用</w:t>
      </w:r>
      <w:r>
        <w:rPr>
          <w:rFonts w:ascii="Times New Roman"/>
          <w:highlight w:val="none"/>
        </w:rPr>
        <w:t>0.11 tCO</w:t>
      </w:r>
      <w:r>
        <w:rPr>
          <w:rFonts w:ascii="Times New Roman"/>
          <w:highlight w:val="none"/>
          <w:vertAlign w:val="subscript"/>
        </w:rPr>
        <w:t>2</w:t>
      </w:r>
      <w:r>
        <w:rPr>
          <w:rFonts w:ascii="Times New Roman"/>
          <w:highlight w:val="none"/>
        </w:rPr>
        <w:t>/GJ</w:t>
      </w:r>
      <w:r>
        <w:rPr>
          <w:rFonts w:hint="eastAsia" w:ascii="Times New Roman"/>
          <w:highlight w:val="none"/>
        </w:rPr>
        <w:t>。</w:t>
      </w:r>
    </w:p>
    <w:p>
      <w:pPr>
        <w:pStyle w:val="105"/>
        <w:spacing w:before="156" w:after="156"/>
        <w:rPr>
          <w:rFonts w:hint="eastAsia" w:ascii="Times New Roman"/>
          <w:highlight w:val="none"/>
        </w:rPr>
      </w:pPr>
      <w:bookmarkStart w:id="120" w:name="_Toc30180"/>
      <w:r>
        <w:rPr>
          <w:rFonts w:hint="eastAsia" w:ascii="Times New Roman"/>
          <w:highlight w:val="none"/>
        </w:rPr>
        <w:t>温室气体排放总量</w:t>
      </w:r>
      <w:bookmarkEnd w:id="120"/>
    </w:p>
    <w:p>
      <w:pPr>
        <w:pStyle w:val="56"/>
        <w:ind w:firstLine="420"/>
        <w:rPr>
          <w:rFonts w:ascii="Times New Roman"/>
          <w:highlight w:val="none"/>
        </w:rPr>
      </w:pPr>
      <w:r>
        <w:rPr>
          <w:rFonts w:hint="eastAsia" w:ascii="Times New Roman"/>
          <w:highlight w:val="none"/>
          <w:lang w:eastAsia="zh-CN"/>
        </w:rPr>
        <w:t>建筑防水材料生产企业</w:t>
      </w:r>
      <w:r>
        <w:rPr>
          <w:rFonts w:hint="eastAsia" w:ascii="Times New Roman"/>
          <w:highlight w:val="none"/>
        </w:rPr>
        <w:t>温室气体</w:t>
      </w:r>
      <w:r>
        <w:rPr>
          <w:rFonts w:ascii="Times New Roman"/>
          <w:highlight w:val="none"/>
        </w:rPr>
        <w:t>排放总量等于</w:t>
      </w:r>
      <w:r>
        <w:rPr>
          <w:rFonts w:hint="eastAsia" w:ascii="Times New Roman"/>
          <w:highlight w:val="none"/>
        </w:rPr>
        <w:t>核算</w:t>
      </w:r>
      <w:r>
        <w:rPr>
          <w:rFonts w:ascii="Times New Roman"/>
          <w:highlight w:val="none"/>
        </w:rPr>
        <w:t>边界内</w:t>
      </w:r>
      <w:r>
        <w:rPr>
          <w:rFonts w:hint="eastAsia" w:ascii="Times New Roman"/>
          <w:highlight w:val="none"/>
        </w:rPr>
        <w:t>所有</w:t>
      </w:r>
      <w:r>
        <w:rPr>
          <w:rFonts w:ascii="Times New Roman"/>
          <w:highlight w:val="none"/>
        </w:rPr>
        <w:t>的</w:t>
      </w:r>
      <w:r>
        <w:rPr>
          <w:rFonts w:hint="eastAsia" w:ascii="Times New Roman"/>
          <w:highlight w:val="none"/>
        </w:rPr>
        <w:t>化石</w:t>
      </w:r>
      <w:r>
        <w:rPr>
          <w:rFonts w:ascii="Times New Roman"/>
          <w:highlight w:val="none"/>
        </w:rPr>
        <w:t>燃料燃烧排放量、</w:t>
      </w:r>
      <w:r>
        <w:rPr>
          <w:rFonts w:hint="eastAsia" w:ascii="Times New Roman"/>
          <w:highlight w:val="none"/>
        </w:rPr>
        <w:t>净</w:t>
      </w:r>
      <w:r>
        <w:rPr>
          <w:rFonts w:ascii="Times New Roman"/>
          <w:highlight w:val="none"/>
        </w:rPr>
        <w:t>购入</w:t>
      </w:r>
      <w:r>
        <w:rPr>
          <w:rFonts w:hint="eastAsia" w:ascii="Times New Roman"/>
          <w:highlight w:val="none"/>
        </w:rPr>
        <w:t>使用</w:t>
      </w:r>
      <w:r>
        <w:rPr>
          <w:rFonts w:ascii="Times New Roman"/>
          <w:highlight w:val="none"/>
        </w:rPr>
        <w:t>电力和热力产生的排放量之和，按</w:t>
      </w:r>
      <w:r>
        <w:rPr>
          <w:rFonts w:hint="eastAsia" w:ascii="Times New Roman"/>
          <w:highlight w:val="none"/>
          <w:lang w:eastAsia="zh-CN"/>
        </w:rPr>
        <w:t>公式（</w:t>
      </w:r>
      <w:r>
        <w:rPr>
          <w:rFonts w:hint="eastAsia" w:ascii="Times New Roman"/>
          <w:highlight w:val="none"/>
          <w:lang w:val="en-US" w:eastAsia="zh-CN"/>
        </w:rPr>
        <w:t>8</w:t>
      </w:r>
      <w:r>
        <w:rPr>
          <w:rFonts w:ascii="Times New Roman"/>
          <w:highlight w:val="none"/>
        </w:rPr>
        <w:t>）计算：</w:t>
      </w:r>
    </w:p>
    <w:p>
      <w:pPr>
        <w:pStyle w:val="113"/>
        <w:rPr>
          <w:rFonts w:ascii="Times New Roman" w:hAnsi="Times New Roman"/>
          <w:highlight w:val="none"/>
        </w:rPr>
      </w:pPr>
      <w:r>
        <w:rPr>
          <w:rFonts w:ascii="Times New Roman" w:hAnsi="Times New Roman"/>
          <w:highlight w:val="none"/>
        </w:rPr>
        <w:tab/>
      </w:r>
      <m:oMath>
        <m:r>
          <m:rPr/>
          <w:rPr>
            <w:rFonts w:ascii="Cambria Math" w:hAnsi="Cambria Math"/>
            <w:highlight w:val="none"/>
          </w:rPr>
          <m:t>E=</m:t>
        </m:r>
        <m:sSub>
          <m:sSubPr>
            <m:ctrlPr>
              <w:rPr>
                <w:rFonts w:ascii="Cambria Math" w:hAnsi="Cambria Math"/>
                <w:i/>
                <w:iCs/>
                <w:highlight w:val="none"/>
              </w:rPr>
            </m:ctrlPr>
          </m:sSubPr>
          <m:e>
            <m:r>
              <m:rPr/>
              <w:rPr>
                <w:rFonts w:ascii="Cambria Math" w:hAnsi="Cambria Math"/>
                <w:highlight w:val="none"/>
              </w:rPr>
              <m:t>E</m:t>
            </m:r>
            <m:ctrlPr>
              <w:rPr>
                <w:rFonts w:ascii="Cambria Math" w:hAnsi="Cambria Math"/>
                <w:i/>
                <w:iCs/>
                <w:highlight w:val="none"/>
              </w:rPr>
            </m:ctrlPr>
          </m:e>
          <m:sub>
            <m:r>
              <m:rPr/>
              <w:rPr>
                <w:rFonts w:hint="eastAsia" w:ascii="Cambria Math" w:hAnsi="Cambria Math"/>
                <w:highlight w:val="none"/>
              </w:rPr>
              <m:t>燃烧</m:t>
            </m:r>
            <m:ctrlPr>
              <w:rPr>
                <w:rFonts w:ascii="Cambria Math" w:hAnsi="Cambria Math"/>
                <w:i/>
                <w:iCs/>
                <w:highlight w:val="none"/>
              </w:rPr>
            </m:ctrlPr>
          </m:sub>
        </m:sSub>
        <m:r>
          <m:rPr/>
          <w:rPr>
            <w:rFonts w:ascii="Cambria Math" w:hAnsi="Cambria Math"/>
            <w:highlight w:val="none"/>
          </w:rPr>
          <m:t>+</m:t>
        </m:r>
        <m:sSub>
          <m:sSubPr>
            <m:ctrlPr>
              <w:rPr>
                <w:rFonts w:ascii="Cambria Math" w:hAnsi="Cambria Math"/>
                <w:i/>
                <w:iCs/>
                <w:highlight w:val="none"/>
              </w:rPr>
            </m:ctrlPr>
          </m:sSubPr>
          <m:e>
            <m:r>
              <m:rPr/>
              <w:rPr>
                <w:rFonts w:ascii="Cambria Math" w:hAnsi="Cambria Math"/>
                <w:highlight w:val="none"/>
              </w:rPr>
              <m:t>E</m:t>
            </m:r>
            <m:ctrlPr>
              <w:rPr>
                <w:rFonts w:ascii="Cambria Math" w:hAnsi="Cambria Math"/>
                <w:i/>
                <w:iCs/>
                <w:highlight w:val="none"/>
              </w:rPr>
            </m:ctrlPr>
          </m:e>
          <m:sub>
            <m:r>
              <m:rPr/>
              <w:rPr>
                <w:rFonts w:hint="eastAsia" w:ascii="Cambria Math" w:hAnsi="Cambria Math"/>
                <w:highlight w:val="none"/>
              </w:rPr>
              <m:t>电</m:t>
            </m:r>
            <m:ctrlPr>
              <w:rPr>
                <w:rFonts w:ascii="Cambria Math" w:hAnsi="Cambria Math"/>
                <w:i/>
                <w:iCs/>
                <w:highlight w:val="none"/>
              </w:rPr>
            </m:ctrlPr>
          </m:sub>
        </m:sSub>
        <m:r>
          <m:rPr/>
          <w:rPr>
            <w:rFonts w:ascii="Cambria Math" w:hAnsi="Cambria Math"/>
            <w:highlight w:val="none"/>
          </w:rPr>
          <m:t>+</m:t>
        </m:r>
        <m:sSub>
          <m:sSubPr>
            <m:ctrlPr>
              <w:rPr>
                <w:rFonts w:ascii="Cambria Math" w:hAnsi="Cambria Math"/>
                <w:i/>
                <w:iCs/>
                <w:highlight w:val="none"/>
              </w:rPr>
            </m:ctrlPr>
          </m:sSubPr>
          <m:e>
            <m:r>
              <m:rPr/>
              <w:rPr>
                <w:rFonts w:ascii="Cambria Math" w:hAnsi="Cambria Math"/>
                <w:highlight w:val="none"/>
              </w:rPr>
              <m:t>E</m:t>
            </m:r>
            <m:ctrlPr>
              <w:rPr>
                <w:rFonts w:ascii="Cambria Math" w:hAnsi="Cambria Math"/>
                <w:i/>
                <w:iCs/>
                <w:highlight w:val="none"/>
              </w:rPr>
            </m:ctrlPr>
          </m:e>
          <m:sub>
            <m:r>
              <m:rPr/>
              <w:rPr>
                <w:rFonts w:hint="eastAsia" w:ascii="Cambria Math" w:hAnsi="Cambria Math"/>
                <w:highlight w:val="none"/>
              </w:rPr>
              <m:t>热</m:t>
            </m:r>
            <m:ctrlPr>
              <w:rPr>
                <w:rFonts w:ascii="Cambria Math" w:hAnsi="Cambria Math"/>
                <w:i/>
                <w:iCs/>
                <w:highlight w:val="none"/>
              </w:rPr>
            </m:ctrlPr>
          </m:sub>
        </m:sSub>
      </m:oMath>
      <w:r>
        <w:rPr>
          <w:rFonts w:ascii="Times New Roman" w:hAnsi="Times New Roman" w:eastAsia="微软雅黑"/>
          <w:highlight w:val="none"/>
        </w:rPr>
        <w:tab/>
      </w:r>
      <w:r>
        <w:rPr>
          <w:rFonts w:hint="eastAsia" w:ascii="Times New Roman" w:hAnsi="Times New Roman"/>
          <w:highlight w:val="none"/>
        </w:rPr>
        <w:t>（</w:t>
      </w:r>
      <w:r>
        <w:rPr>
          <w:rFonts w:hint="eastAsia" w:ascii="Times New Roman" w:hAnsi="Times New Roman"/>
          <w:highlight w:val="none"/>
          <w:lang w:val="en-US" w:eastAsia="zh-CN"/>
        </w:rPr>
        <w:t>8</w:t>
      </w:r>
      <w:r>
        <w:rPr>
          <w:rFonts w:hint="eastAsia" w:ascii="Times New Roman" w:hAnsi="Times New Roman"/>
          <w:highlight w:val="none"/>
        </w:rPr>
        <w:t>）</w:t>
      </w:r>
    </w:p>
    <w:p>
      <w:pPr>
        <w:pStyle w:val="55"/>
        <w:ind w:firstLine="420"/>
        <w:rPr>
          <w:rFonts w:ascii="Times New Roman" w:hAnsi="Times New Roman"/>
          <w:highlight w:val="none"/>
        </w:rPr>
      </w:pPr>
      <w:r>
        <w:rPr>
          <w:rFonts w:ascii="Times New Roman" w:hAnsi="Times New Roman"/>
          <w:highlight w:val="none"/>
        </w:rPr>
        <w:t>式中：</w:t>
      </w:r>
    </w:p>
    <w:tbl>
      <w:tblPr>
        <w:tblStyle w:val="2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
        <w:gridCol w:w="340"/>
        <w:gridCol w:w="85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283" w:type="dxa"/>
          </w:tcPr>
          <w:p>
            <w:pPr>
              <w:pStyle w:val="56"/>
              <w:adjustRightInd w:val="0"/>
              <w:snapToGrid w:val="0"/>
              <w:ind w:firstLine="0" w:firstLineChars="0"/>
              <w:rPr>
                <w:rFonts w:ascii="Times New Roman"/>
                <w:highlight w:val="none"/>
              </w:rPr>
            </w:pPr>
            <m:oMathPara>
              <m:oMathParaPr>
                <m:jc m:val="left"/>
              </m:oMathParaPr>
              <m:oMath>
                <m:r>
                  <m:rPr/>
                  <w:rPr>
                    <w:rFonts w:ascii="Cambria Math" w:hAnsi="Cambria Math"/>
                    <w:highlight w:val="none"/>
                  </w:rPr>
                  <m:t>E</m:t>
                </m:r>
              </m:oMath>
            </m:oMathPara>
          </w:p>
        </w:tc>
        <w:tc>
          <w:tcPr>
            <w:tcW w:w="340" w:type="dxa"/>
          </w:tcPr>
          <w:p>
            <w:pPr>
              <w:pStyle w:val="56"/>
              <w:adjustRightInd w:val="0"/>
              <w:snapToGrid w:val="0"/>
              <w:ind w:left="-105" w:leftChars="-50" w:right="-105" w:rightChars="-50" w:firstLine="0" w:firstLineChars="0"/>
              <w:jc w:val="center"/>
              <w:rPr>
                <w:rFonts w:ascii="Times New Roman"/>
                <w:highlight w:val="none"/>
              </w:rPr>
            </w:pPr>
            <w:r>
              <w:rPr>
                <w:rFonts w:ascii="Times New Roman"/>
                <w:highlight w:val="none"/>
              </w:rPr>
              <w:t>—</w:t>
            </w:r>
          </w:p>
        </w:tc>
        <w:tc>
          <w:tcPr>
            <w:tcW w:w="8504" w:type="dxa"/>
          </w:tcPr>
          <w:p>
            <w:pPr>
              <w:pStyle w:val="56"/>
              <w:adjustRightInd w:val="0"/>
              <w:snapToGrid w:val="0"/>
              <w:ind w:left="-105" w:leftChars="-50" w:firstLine="0" w:firstLineChars="0"/>
              <w:rPr>
                <w:rFonts w:hint="eastAsia" w:ascii="Times New Roman" w:eastAsia="宋体"/>
                <w:highlight w:val="none"/>
                <w:lang w:eastAsia="zh-CN"/>
              </w:rPr>
            </w:pPr>
            <w:r>
              <w:rPr>
                <w:rFonts w:hint="eastAsia" w:ascii="Times New Roman"/>
                <w:highlight w:val="none"/>
              </w:rPr>
              <w:t>企业</w:t>
            </w:r>
            <w:r>
              <w:rPr>
                <w:rFonts w:ascii="Times New Roman"/>
                <w:highlight w:val="none"/>
              </w:rPr>
              <w:t>温室气体排放总量，</w:t>
            </w:r>
            <w:r>
              <w:rPr>
                <w:rFonts w:hint="eastAsia" w:ascii="Times New Roman"/>
                <w:highlight w:val="none"/>
              </w:rPr>
              <w:t>以</w:t>
            </w:r>
            <w:r>
              <w:rPr>
                <w:rFonts w:ascii="Times New Roman"/>
                <w:highlight w:val="none"/>
              </w:rPr>
              <w:t>吨二氧化碳（tCO</w:t>
            </w:r>
            <w:r>
              <w:rPr>
                <w:rFonts w:ascii="Times New Roman"/>
                <w:highlight w:val="none"/>
                <w:vertAlign w:val="subscript"/>
              </w:rPr>
              <w:t>2</w:t>
            </w:r>
            <w:r>
              <w:rPr>
                <w:rFonts w:ascii="Times New Roman"/>
                <w:highlight w:val="none"/>
              </w:rPr>
              <w:t>）</w:t>
            </w:r>
            <w:r>
              <w:rPr>
                <w:rFonts w:hint="eastAsia" w:ascii="Times New Roman"/>
                <w:highlight w:val="none"/>
              </w:rPr>
              <w:t>计</w:t>
            </w:r>
            <w:r>
              <w:rPr>
                <w:rFonts w:hint="eastAsia" w:ascii="Times New Roman"/>
                <w:highlight w:val="none"/>
                <w:lang w:eastAsia="zh-CN"/>
              </w:rPr>
              <w:t>。</w:t>
            </w:r>
          </w:p>
        </w:tc>
      </w:tr>
    </w:tbl>
    <w:p>
      <w:pPr>
        <w:pStyle w:val="104"/>
        <w:spacing w:before="312" w:after="312"/>
        <w:rPr>
          <w:rFonts w:ascii="Times New Roman"/>
          <w:highlight w:val="none"/>
        </w:rPr>
      </w:pPr>
      <w:bookmarkStart w:id="121" w:name="_Toc14351"/>
      <w:r>
        <w:rPr>
          <w:rFonts w:ascii="Times New Roman"/>
          <w:highlight w:val="none"/>
        </w:rPr>
        <w:t>数据质量管理</w:t>
      </w:r>
      <w:bookmarkEnd w:id="115"/>
      <w:bookmarkEnd w:id="116"/>
      <w:bookmarkEnd w:id="117"/>
      <w:bookmarkEnd w:id="118"/>
      <w:bookmarkEnd w:id="119"/>
      <w:r>
        <w:rPr>
          <w:rFonts w:hint="eastAsia" w:ascii="Times New Roman"/>
          <w:highlight w:val="none"/>
          <w:lang w:val="en-US" w:eastAsia="zh-CN"/>
        </w:rPr>
        <w:t>要求</w:t>
      </w:r>
      <w:bookmarkEnd w:id="121"/>
    </w:p>
    <w:p>
      <w:pPr>
        <w:pStyle w:val="56"/>
        <w:ind w:firstLine="420"/>
        <w:rPr>
          <w:rFonts w:ascii="Times New Roman"/>
          <w:highlight w:val="none"/>
        </w:rPr>
      </w:pPr>
      <w:r>
        <w:rPr>
          <w:rFonts w:ascii="Times New Roman"/>
          <w:highlight w:val="none"/>
        </w:rPr>
        <w:t>报告主体宜加强</w:t>
      </w:r>
      <w:r>
        <w:rPr>
          <w:rFonts w:hint="eastAsia" w:ascii="Times New Roman"/>
          <w:highlight w:val="none"/>
        </w:rPr>
        <w:t>温室气体排放</w:t>
      </w:r>
      <w:r>
        <w:rPr>
          <w:rFonts w:ascii="Times New Roman"/>
          <w:highlight w:val="none"/>
        </w:rPr>
        <w:t>数据质量管理工作，包括但不限于：</w:t>
      </w:r>
    </w:p>
    <w:p>
      <w:pPr>
        <w:pStyle w:val="174"/>
        <w:numPr>
          <w:ilvl w:val="0"/>
          <w:numId w:val="36"/>
        </w:numPr>
        <w:rPr>
          <w:rFonts w:ascii="Times New Roman"/>
          <w:highlight w:val="none"/>
        </w:rPr>
      </w:pPr>
      <w:r>
        <w:rPr>
          <w:rFonts w:hint="eastAsia" w:ascii="Times New Roman"/>
          <w:highlight w:val="none"/>
        </w:rPr>
        <w:t>建立企业温室气体排放核算和报告的规章制度，包括负责机构和人员、工作流程和内容、工作周期和时间节点等；指定专职人员负责企业温室气体排放核算和报告工作；</w:t>
      </w:r>
    </w:p>
    <w:p>
      <w:pPr>
        <w:pStyle w:val="174"/>
        <w:numPr>
          <w:ilvl w:val="0"/>
          <w:numId w:val="36"/>
        </w:numPr>
        <w:rPr>
          <w:rFonts w:ascii="Times New Roman"/>
          <w:highlight w:val="none"/>
        </w:rPr>
      </w:pPr>
      <w:r>
        <w:rPr>
          <w:rFonts w:hint="eastAsia" w:ascii="Times New Roman"/>
          <w:highlight w:val="none"/>
        </w:rPr>
        <w:t>根据各种类型的温室气体排放源的重要程度对其进行等级划分，并建立企业温室气体排放源一览表，对于不同等级的排放源的活动数据和排放因子数据的获取提出相应的要求；</w:t>
      </w:r>
    </w:p>
    <w:p>
      <w:pPr>
        <w:pStyle w:val="174"/>
        <w:numPr>
          <w:ilvl w:val="0"/>
          <w:numId w:val="36"/>
        </w:numPr>
        <w:rPr>
          <w:rFonts w:ascii="Times New Roman"/>
          <w:highlight w:val="none"/>
        </w:rPr>
      </w:pPr>
      <w:r>
        <w:rPr>
          <w:rFonts w:hint="eastAsia" w:ascii="Times New Roman"/>
          <w:highlight w:val="none"/>
        </w:rPr>
        <w:t>对现有监测条件进行评估，并参照附录C的模板制定相应的数据质量控制计划，包括对活动数据的监测和对燃料低位发热量等参数的监测及获取要求；定期对计量器具、检测设备和在线监测仪表进行维护管理，并记录存档；</w:t>
      </w:r>
    </w:p>
    <w:p>
      <w:pPr>
        <w:pStyle w:val="174"/>
        <w:numPr>
          <w:ilvl w:val="0"/>
          <w:numId w:val="36"/>
        </w:numPr>
        <w:rPr>
          <w:rFonts w:ascii="Times New Roman"/>
          <w:highlight w:val="none"/>
        </w:rPr>
      </w:pPr>
      <w:r>
        <w:rPr>
          <w:rFonts w:hint="eastAsia" w:ascii="Times New Roman"/>
          <w:highlight w:val="none"/>
        </w:rPr>
        <w:t>建立健全温室气体排放数据记录管理体系，包括数据来源，数据获取时间以及相关责任人等信息的记录管理；</w:t>
      </w:r>
    </w:p>
    <w:p>
      <w:pPr>
        <w:pStyle w:val="174"/>
        <w:numPr>
          <w:ilvl w:val="0"/>
          <w:numId w:val="36"/>
        </w:numPr>
        <w:rPr>
          <w:rFonts w:ascii="Times New Roman"/>
          <w:highlight w:val="none"/>
        </w:rPr>
      </w:pPr>
      <w:r>
        <w:rPr>
          <w:rFonts w:hint="eastAsia" w:ascii="Times New Roman"/>
          <w:highlight w:val="none"/>
        </w:rPr>
        <w:t>建立企业温室气体排放报告内部审核制度。定期对温室气体排放数据进行交叉校验，对可能产生的数据误差风险进行识别，并提出相应的解决方案</w:t>
      </w:r>
      <w:r>
        <w:rPr>
          <w:rFonts w:ascii="Times New Roman"/>
          <w:highlight w:val="none"/>
        </w:rPr>
        <w:t>。</w:t>
      </w:r>
    </w:p>
    <w:p>
      <w:pPr>
        <w:pStyle w:val="104"/>
        <w:spacing w:before="312" w:after="312"/>
        <w:rPr>
          <w:rFonts w:ascii="Times New Roman"/>
          <w:highlight w:val="none"/>
        </w:rPr>
      </w:pPr>
      <w:bookmarkStart w:id="122" w:name="_Toc128508304"/>
      <w:bookmarkStart w:id="123" w:name="_Toc128508372"/>
      <w:bookmarkStart w:id="124" w:name="_Toc128585861"/>
      <w:bookmarkStart w:id="125" w:name="_Toc128676563"/>
      <w:bookmarkStart w:id="126" w:name="_Toc3744"/>
      <w:bookmarkStart w:id="127" w:name="_Toc128508456"/>
      <w:r>
        <w:rPr>
          <w:rFonts w:ascii="Times New Roman"/>
          <w:highlight w:val="none"/>
        </w:rPr>
        <w:t>报告内容和格式</w:t>
      </w:r>
      <w:bookmarkEnd w:id="122"/>
      <w:bookmarkEnd w:id="123"/>
      <w:bookmarkEnd w:id="124"/>
      <w:bookmarkEnd w:id="125"/>
      <w:bookmarkEnd w:id="126"/>
      <w:bookmarkEnd w:id="127"/>
    </w:p>
    <w:p>
      <w:pPr>
        <w:pStyle w:val="105"/>
        <w:spacing w:before="156" w:after="156"/>
        <w:rPr>
          <w:rFonts w:ascii="Times New Roman"/>
          <w:highlight w:val="none"/>
        </w:rPr>
      </w:pPr>
      <w:bookmarkStart w:id="128" w:name="_Toc18979"/>
      <w:r>
        <w:rPr>
          <w:rFonts w:hint="eastAsia" w:ascii="Times New Roman"/>
          <w:highlight w:val="none"/>
        </w:rPr>
        <w:t>通则</w:t>
      </w:r>
      <w:bookmarkEnd w:id="128"/>
    </w:p>
    <w:p>
      <w:pPr>
        <w:pStyle w:val="56"/>
        <w:ind w:firstLine="420"/>
        <w:rPr>
          <w:rFonts w:ascii="Times New Roman"/>
          <w:highlight w:val="none"/>
        </w:rPr>
      </w:pPr>
      <w:r>
        <w:rPr>
          <w:rFonts w:hint="eastAsia" w:ascii="Times New Roman"/>
          <w:highlight w:val="none"/>
        </w:rPr>
        <w:t>报告内容应包括报告主体基本信息、温室气体排放量、活动数据及其来源和排放因子及其来源，报告格式参照附录</w:t>
      </w:r>
      <w:r>
        <w:rPr>
          <w:rFonts w:ascii="Times New Roman"/>
          <w:highlight w:val="none"/>
        </w:rPr>
        <w:t>A。</w:t>
      </w:r>
    </w:p>
    <w:p>
      <w:pPr>
        <w:pStyle w:val="105"/>
        <w:spacing w:before="156" w:after="156"/>
        <w:rPr>
          <w:rFonts w:ascii="Times New Roman"/>
          <w:highlight w:val="none"/>
        </w:rPr>
      </w:pPr>
      <w:bookmarkStart w:id="129" w:name="_Toc22181"/>
      <w:bookmarkStart w:id="130" w:name="_Toc128676565"/>
      <w:bookmarkStart w:id="131" w:name="_Toc128508458"/>
      <w:bookmarkStart w:id="132" w:name="_Toc128508306"/>
      <w:bookmarkStart w:id="133" w:name="_Toc128585863"/>
      <w:bookmarkStart w:id="134" w:name="_Toc128508374"/>
      <w:r>
        <w:rPr>
          <w:rFonts w:ascii="Times New Roman"/>
          <w:highlight w:val="none"/>
        </w:rPr>
        <w:t>报告主体基本信息</w:t>
      </w:r>
      <w:bookmarkEnd w:id="129"/>
      <w:bookmarkEnd w:id="130"/>
      <w:bookmarkEnd w:id="131"/>
      <w:bookmarkEnd w:id="132"/>
      <w:bookmarkEnd w:id="133"/>
      <w:bookmarkEnd w:id="134"/>
    </w:p>
    <w:p>
      <w:pPr>
        <w:pStyle w:val="56"/>
        <w:ind w:firstLine="420"/>
        <w:rPr>
          <w:rFonts w:ascii="Times New Roman"/>
          <w:highlight w:val="none"/>
        </w:rPr>
      </w:pPr>
      <w:r>
        <w:rPr>
          <w:rFonts w:hint="eastAsia" w:ascii="Times New Roman"/>
          <w:highlight w:val="none"/>
        </w:rPr>
        <w:t>报告主体基本信息应包括报告主体名称、单位性质、报告年度、所属行业、设计产能、排污许可证编号、统一社会信用代码、法定代表人、填报负责人和联系人信息等。</w:t>
      </w:r>
    </w:p>
    <w:p>
      <w:pPr>
        <w:pStyle w:val="56"/>
        <w:ind w:firstLine="420"/>
        <w:rPr>
          <w:rFonts w:ascii="Times New Roman"/>
          <w:highlight w:val="none"/>
        </w:rPr>
      </w:pPr>
      <w:r>
        <w:rPr>
          <w:rFonts w:hint="eastAsia" w:ascii="Times New Roman"/>
          <w:highlight w:val="none"/>
        </w:rPr>
        <w:t>报告主体基本信息还应包括核算边界、主营产品及工艺流程以及排放源识别情况的详细说明（必要时应附表和附图）</w:t>
      </w:r>
      <w:r>
        <w:rPr>
          <w:rFonts w:ascii="Times New Roman"/>
          <w:highlight w:val="none"/>
        </w:rPr>
        <w:t>。</w:t>
      </w:r>
    </w:p>
    <w:p>
      <w:pPr>
        <w:pStyle w:val="105"/>
        <w:spacing w:before="156" w:after="156"/>
        <w:rPr>
          <w:rFonts w:ascii="Times New Roman"/>
          <w:highlight w:val="none"/>
        </w:rPr>
      </w:pPr>
      <w:bookmarkStart w:id="135" w:name="_Toc128676566"/>
      <w:bookmarkStart w:id="136" w:name="_Toc15856"/>
      <w:bookmarkStart w:id="137" w:name="_Toc128508459"/>
      <w:bookmarkStart w:id="138" w:name="_Toc128508375"/>
      <w:bookmarkStart w:id="139" w:name="_Toc128508307"/>
      <w:bookmarkStart w:id="140" w:name="_Toc128585864"/>
      <w:r>
        <w:rPr>
          <w:rFonts w:hint="eastAsia" w:ascii="Times New Roman"/>
          <w:highlight w:val="none"/>
        </w:rPr>
        <w:t>温室气体</w:t>
      </w:r>
      <w:r>
        <w:rPr>
          <w:rFonts w:ascii="Times New Roman"/>
          <w:highlight w:val="none"/>
        </w:rPr>
        <w:t>排放量</w:t>
      </w:r>
      <w:bookmarkEnd w:id="135"/>
      <w:bookmarkEnd w:id="136"/>
      <w:bookmarkEnd w:id="137"/>
      <w:bookmarkEnd w:id="138"/>
      <w:bookmarkEnd w:id="139"/>
      <w:bookmarkEnd w:id="140"/>
    </w:p>
    <w:p>
      <w:pPr>
        <w:pStyle w:val="56"/>
        <w:ind w:firstLine="420"/>
        <w:rPr>
          <w:rFonts w:ascii="Times New Roman"/>
          <w:highlight w:val="none"/>
        </w:rPr>
      </w:pPr>
      <w:r>
        <w:rPr>
          <w:rFonts w:hint="eastAsia" w:ascii="Times New Roman"/>
          <w:highlight w:val="none"/>
        </w:rPr>
        <w:t>报告主体应报告年度温室气体排放总量，并分别报告化石燃料燃烧排放、购入和输出的电力和热力产生的排放。</w:t>
      </w:r>
    </w:p>
    <w:p>
      <w:pPr>
        <w:pStyle w:val="105"/>
        <w:spacing w:before="156" w:after="156"/>
        <w:rPr>
          <w:rFonts w:ascii="Times New Roman"/>
          <w:highlight w:val="none"/>
        </w:rPr>
      </w:pPr>
      <w:bookmarkStart w:id="141" w:name="_Toc128508460"/>
      <w:bookmarkStart w:id="142" w:name="_Toc128585865"/>
      <w:bookmarkStart w:id="143" w:name="_Toc128508308"/>
      <w:bookmarkStart w:id="144" w:name="_Toc128508376"/>
      <w:bookmarkStart w:id="145" w:name="_Toc128676567"/>
      <w:bookmarkStart w:id="146" w:name="_Toc17351"/>
      <w:r>
        <w:rPr>
          <w:rFonts w:ascii="Times New Roman"/>
          <w:highlight w:val="none"/>
        </w:rPr>
        <w:t>活动数据及来源</w:t>
      </w:r>
      <w:bookmarkEnd w:id="141"/>
      <w:bookmarkEnd w:id="142"/>
      <w:bookmarkEnd w:id="143"/>
      <w:bookmarkEnd w:id="144"/>
      <w:bookmarkEnd w:id="145"/>
      <w:bookmarkEnd w:id="146"/>
    </w:p>
    <w:p>
      <w:pPr>
        <w:pStyle w:val="56"/>
        <w:ind w:firstLine="420"/>
        <w:rPr>
          <w:rFonts w:ascii="Times New Roman"/>
          <w:highlight w:val="none"/>
        </w:rPr>
      </w:pPr>
      <w:r>
        <w:rPr>
          <w:rFonts w:hint="eastAsia" w:ascii="Times New Roman"/>
          <w:highlight w:val="none"/>
        </w:rPr>
        <w:t>报告主体应报告企业在报告年度内用于工业生产所使用的各种化石燃料的消耗量和对应低位发热量、购入和输出的电力和热力，并说明这些数据的来源。</w:t>
      </w:r>
    </w:p>
    <w:p>
      <w:pPr>
        <w:pStyle w:val="56"/>
        <w:ind w:firstLine="420"/>
        <w:rPr>
          <w:rFonts w:ascii="Times New Roman"/>
          <w:highlight w:val="none"/>
        </w:rPr>
      </w:pPr>
      <w:r>
        <w:rPr>
          <w:rFonts w:hint="eastAsia" w:ascii="Times New Roman"/>
          <w:highlight w:val="none"/>
        </w:rPr>
        <w:t>报告主体如果还从事</w:t>
      </w:r>
      <w:r>
        <w:rPr>
          <w:rFonts w:hint="eastAsia" w:ascii="Times New Roman"/>
          <w:highlight w:val="none"/>
          <w:lang w:eastAsia="zh-CN"/>
        </w:rPr>
        <w:t>建筑防水材料</w:t>
      </w:r>
      <w:r>
        <w:rPr>
          <w:rFonts w:hint="eastAsia" w:ascii="Times New Roman"/>
          <w:highlight w:val="none"/>
        </w:rPr>
        <w:t>生产以外的产品生产活动，并存在本文件未涵盖的温室气体排放环节，则应按照其他相关行业的企业温室气体排放核算与报告要求，一并报告其活动数据及来源。</w:t>
      </w:r>
    </w:p>
    <w:p>
      <w:pPr>
        <w:pStyle w:val="105"/>
        <w:spacing w:before="156" w:after="156"/>
        <w:rPr>
          <w:rFonts w:ascii="Times New Roman"/>
          <w:highlight w:val="none"/>
        </w:rPr>
      </w:pPr>
      <w:bookmarkStart w:id="147" w:name="_Toc128508309"/>
      <w:bookmarkStart w:id="148" w:name="_Toc128585866"/>
      <w:bookmarkStart w:id="149" w:name="_Toc128508377"/>
      <w:bookmarkStart w:id="150" w:name="_Toc128508461"/>
      <w:bookmarkStart w:id="151" w:name="_Toc128676568"/>
      <w:bookmarkStart w:id="152" w:name="_Toc6284"/>
      <w:r>
        <w:rPr>
          <w:rFonts w:ascii="Times New Roman"/>
          <w:highlight w:val="none"/>
        </w:rPr>
        <w:t>排放因子</w:t>
      </w:r>
      <w:r>
        <w:rPr>
          <w:rFonts w:hint="eastAsia" w:ascii="Times New Roman"/>
          <w:highlight w:val="none"/>
        </w:rPr>
        <w:t>数据</w:t>
      </w:r>
      <w:r>
        <w:rPr>
          <w:rFonts w:ascii="Times New Roman"/>
          <w:highlight w:val="none"/>
        </w:rPr>
        <w:t>及来源</w:t>
      </w:r>
      <w:bookmarkEnd w:id="147"/>
      <w:bookmarkEnd w:id="148"/>
      <w:bookmarkEnd w:id="149"/>
      <w:bookmarkEnd w:id="150"/>
      <w:bookmarkEnd w:id="151"/>
      <w:bookmarkEnd w:id="152"/>
    </w:p>
    <w:p>
      <w:pPr>
        <w:pStyle w:val="56"/>
        <w:ind w:firstLine="420"/>
        <w:rPr>
          <w:rFonts w:ascii="Times New Roman"/>
          <w:highlight w:val="none"/>
        </w:rPr>
      </w:pPr>
      <w:r>
        <w:rPr>
          <w:rFonts w:hint="eastAsia" w:ascii="Times New Roman"/>
          <w:highlight w:val="none"/>
        </w:rPr>
        <w:t>报告主体应报告企业在报告年度内下列排放因子</w:t>
      </w:r>
      <w:r>
        <w:rPr>
          <w:rFonts w:ascii="Times New Roman"/>
          <w:highlight w:val="none"/>
        </w:rPr>
        <w:t>：</w:t>
      </w:r>
    </w:p>
    <w:p>
      <w:pPr>
        <w:pStyle w:val="174"/>
        <w:numPr>
          <w:ilvl w:val="0"/>
          <w:numId w:val="37"/>
        </w:numPr>
        <w:rPr>
          <w:rFonts w:ascii="Times New Roman"/>
          <w:highlight w:val="none"/>
        </w:rPr>
      </w:pPr>
      <w:r>
        <w:rPr>
          <w:rFonts w:hint="eastAsia" w:ascii="Times New Roman"/>
          <w:highlight w:val="none"/>
        </w:rPr>
        <w:t>生产所使用的各种化石燃料的单位热值含碳量和碳氧化率数据，可选用表B.1的缺省值；</w:t>
      </w:r>
    </w:p>
    <w:p>
      <w:pPr>
        <w:pStyle w:val="174"/>
        <w:numPr>
          <w:ilvl w:val="0"/>
          <w:numId w:val="37"/>
        </w:numPr>
        <w:rPr>
          <w:rFonts w:ascii="Times New Roman"/>
          <w:highlight w:val="none"/>
        </w:rPr>
      </w:pPr>
      <w:r>
        <w:rPr>
          <w:rFonts w:hint="eastAsia" w:ascii="Times New Roman"/>
          <w:highlight w:val="none"/>
        </w:rPr>
        <w:t>电力排放因子和热力排放因子数据</w:t>
      </w:r>
      <w:r>
        <w:rPr>
          <w:rFonts w:ascii="Times New Roman"/>
          <w:highlight w:val="none"/>
        </w:rPr>
        <w:t>。</w:t>
      </w:r>
    </w:p>
    <w:p>
      <w:pPr>
        <w:pStyle w:val="56"/>
        <w:ind w:firstLine="420"/>
        <w:rPr>
          <w:rFonts w:ascii="Times New Roman"/>
          <w:highlight w:val="none"/>
        </w:rPr>
      </w:pPr>
      <w:r>
        <w:rPr>
          <w:rFonts w:hint="eastAsia" w:ascii="Times New Roman"/>
          <w:highlight w:val="none"/>
        </w:rPr>
        <w:t>报告主体如果还从事</w:t>
      </w:r>
      <w:r>
        <w:rPr>
          <w:rFonts w:hint="eastAsia" w:ascii="Times New Roman"/>
          <w:highlight w:val="none"/>
          <w:lang w:eastAsia="zh-CN"/>
        </w:rPr>
        <w:t>建筑防水材料</w:t>
      </w:r>
      <w:r>
        <w:rPr>
          <w:rFonts w:hint="eastAsia" w:ascii="Times New Roman"/>
          <w:highlight w:val="none"/>
        </w:rPr>
        <w:t>生产以外的其他产品生产活动，并存在本文件未涵盖的温室气体排放环节，则应按照其他相关行业的企业温室气体排放核算和报告要求，一并报告其排放因子数据及来源。</w:t>
      </w:r>
    </w:p>
    <w:p>
      <w:pPr>
        <w:pStyle w:val="105"/>
        <w:spacing w:before="156" w:after="156"/>
        <w:rPr>
          <w:rFonts w:ascii="Times New Roman"/>
          <w:highlight w:val="none"/>
        </w:rPr>
      </w:pPr>
      <w:bookmarkStart w:id="153" w:name="_Toc23314"/>
      <w:r>
        <w:rPr>
          <w:rFonts w:hint="eastAsia" w:ascii="Times New Roman"/>
          <w:highlight w:val="none"/>
        </w:rPr>
        <w:t>其他报告信息</w:t>
      </w:r>
      <w:bookmarkEnd w:id="153"/>
    </w:p>
    <w:p>
      <w:pPr>
        <w:pStyle w:val="56"/>
        <w:ind w:firstLine="420"/>
        <w:rPr>
          <w:rFonts w:ascii="Times New Roman"/>
          <w:highlight w:val="none"/>
        </w:rPr>
      </w:pPr>
      <w:r>
        <w:rPr>
          <w:rFonts w:hint="eastAsia" w:ascii="Times New Roman"/>
          <w:highlight w:val="none"/>
        </w:rPr>
        <w:t>报告主体宜报告企业供应链上下游的温室气体排放相较于企业边界内的排放而言不能忽略不计的部分排放情况，并明确核算方法。例如：</w:t>
      </w:r>
      <w:r>
        <w:rPr>
          <w:rFonts w:hint="eastAsia" w:ascii="Times New Roman"/>
          <w:highlight w:val="none"/>
          <w:lang w:val="en-US" w:eastAsia="zh-CN"/>
        </w:rPr>
        <w:t>沥青</w:t>
      </w:r>
      <w:r>
        <w:rPr>
          <w:rFonts w:hint="eastAsia" w:ascii="Times New Roman"/>
          <w:highlight w:val="none"/>
        </w:rPr>
        <w:t>等上游原材料生产制造过程对应的温室气体排放，鼓励企业优先使用绿色低碳胶凝材料，进而降低供应链温室气体排放。</w:t>
      </w:r>
    </w:p>
    <w:p>
      <w:pPr>
        <w:pStyle w:val="56"/>
        <w:ind w:firstLine="420"/>
        <w:rPr>
          <w:rFonts w:ascii="Times New Roman"/>
          <w:highlight w:val="none"/>
        </w:rPr>
      </w:pPr>
    </w:p>
    <w:p>
      <w:pPr>
        <w:widowControl/>
        <w:adjustRightInd/>
        <w:spacing w:line="240" w:lineRule="auto"/>
        <w:jc w:val="left"/>
        <w:rPr>
          <w:rFonts w:ascii="Times New Roman" w:hAnsi="Times New Roman"/>
          <w:kern w:val="0"/>
          <w:szCs w:val="20"/>
          <w:highlight w:val="none"/>
        </w:rPr>
      </w:pPr>
      <w:r>
        <w:rPr>
          <w:rFonts w:ascii="Times New Roman"/>
          <w:highlight w:val="none"/>
        </w:rPr>
        <w:br w:type="page"/>
      </w:r>
    </w:p>
    <w:bookmarkEnd w:id="28"/>
    <w:p>
      <w:pPr>
        <w:pStyle w:val="76"/>
        <w:spacing w:before="78" w:after="156"/>
        <w:rPr>
          <w:rFonts w:ascii="Times New Roman"/>
          <w:highlight w:val="none"/>
        </w:rPr>
      </w:pPr>
      <w:bookmarkStart w:id="154" w:name="_Toc13810"/>
      <w:bookmarkStart w:id="155" w:name="BookMark5"/>
      <w:r>
        <w:rPr>
          <w:rFonts w:ascii="Times New Roman"/>
          <w:highlight w:val="none"/>
        </w:rPr>
        <w:br w:type="textWrapping"/>
      </w:r>
      <w:bookmarkStart w:id="156" w:name="_Toc128585867"/>
      <w:bookmarkStart w:id="157" w:name="_Toc128676569"/>
      <w:bookmarkStart w:id="158" w:name="_Toc128508378"/>
      <w:bookmarkStart w:id="159" w:name="_Toc128508310"/>
      <w:bookmarkStart w:id="160" w:name="_Toc128508462"/>
      <w:r>
        <w:rPr>
          <w:rFonts w:ascii="Times New Roman"/>
          <w:highlight w:val="none"/>
        </w:rPr>
        <w:t>（资料性）</w:t>
      </w:r>
      <w:r>
        <w:rPr>
          <w:rFonts w:ascii="Times New Roman"/>
          <w:highlight w:val="none"/>
        </w:rPr>
        <w:br w:type="textWrapping"/>
      </w:r>
      <w:r>
        <w:rPr>
          <w:rFonts w:ascii="Times New Roman"/>
          <w:highlight w:val="none"/>
        </w:rPr>
        <w:t>报告格式模板</w:t>
      </w:r>
      <w:bookmarkEnd w:id="154"/>
      <w:bookmarkEnd w:id="156"/>
      <w:bookmarkEnd w:id="157"/>
      <w:bookmarkEnd w:id="158"/>
      <w:bookmarkEnd w:id="159"/>
      <w:bookmarkEnd w:id="160"/>
    </w:p>
    <w:p>
      <w:pPr>
        <w:pStyle w:val="56"/>
        <w:ind w:firstLine="420"/>
        <w:rPr>
          <w:rFonts w:ascii="Times New Roman"/>
          <w:highlight w:val="none"/>
        </w:rPr>
      </w:pPr>
    </w:p>
    <w:p>
      <w:pPr>
        <w:pStyle w:val="56"/>
        <w:ind w:firstLine="420"/>
        <w:rPr>
          <w:rFonts w:ascii="Times New Roman"/>
          <w:highlight w:val="none"/>
        </w:rPr>
      </w:pPr>
    </w:p>
    <w:p>
      <w:pPr>
        <w:pStyle w:val="56"/>
        <w:ind w:firstLine="420"/>
        <w:rPr>
          <w:rFonts w:ascii="Times New Roman"/>
          <w:highlight w:val="none"/>
        </w:rPr>
      </w:pPr>
    </w:p>
    <w:p>
      <w:pPr>
        <w:pStyle w:val="56"/>
        <w:ind w:firstLine="420"/>
        <w:rPr>
          <w:rFonts w:ascii="Times New Roman"/>
          <w:highlight w:val="none"/>
        </w:rPr>
      </w:pPr>
    </w:p>
    <w:p>
      <w:pPr>
        <w:pStyle w:val="56"/>
        <w:ind w:firstLine="420"/>
        <w:rPr>
          <w:rFonts w:ascii="Times New Roman"/>
          <w:highlight w:val="none"/>
        </w:rPr>
      </w:pPr>
    </w:p>
    <w:p>
      <w:pPr>
        <w:pStyle w:val="229"/>
        <w:ind w:firstLine="723"/>
        <w:jc w:val="center"/>
        <w:rPr>
          <w:rFonts w:ascii="Times New Roman"/>
          <w:b/>
          <w:sz w:val="36"/>
          <w:szCs w:val="36"/>
          <w:highlight w:val="none"/>
        </w:rPr>
      </w:pPr>
    </w:p>
    <w:p>
      <w:pPr>
        <w:pStyle w:val="229"/>
        <w:ind w:firstLine="723"/>
        <w:jc w:val="center"/>
        <w:rPr>
          <w:rFonts w:ascii="Times New Roman"/>
          <w:b/>
          <w:sz w:val="36"/>
          <w:szCs w:val="36"/>
          <w:highlight w:val="none"/>
        </w:rPr>
      </w:pPr>
    </w:p>
    <w:p>
      <w:pPr>
        <w:pStyle w:val="229"/>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ascii="Times New Roman"/>
          <w:b/>
          <w:sz w:val="36"/>
          <w:szCs w:val="36"/>
          <w:highlight w:val="none"/>
        </w:rPr>
      </w:pPr>
      <w:r>
        <w:rPr>
          <w:rFonts w:hint="eastAsia" w:ascii="Times New Roman"/>
          <w:b/>
          <w:sz w:val="36"/>
          <w:szCs w:val="36"/>
          <w:highlight w:val="none"/>
          <w:lang w:eastAsia="zh-CN"/>
        </w:rPr>
        <w:t>建筑防水材料生产企业</w:t>
      </w:r>
      <w:r>
        <w:rPr>
          <w:rFonts w:hint="eastAsia" w:ascii="Times New Roman"/>
          <w:b/>
          <w:sz w:val="36"/>
          <w:szCs w:val="36"/>
          <w:highlight w:val="none"/>
        </w:rPr>
        <w:t>温室气体</w:t>
      </w:r>
      <w:r>
        <w:rPr>
          <w:rFonts w:ascii="Times New Roman"/>
          <w:b/>
          <w:sz w:val="36"/>
          <w:szCs w:val="36"/>
          <w:highlight w:val="none"/>
        </w:rPr>
        <w:t>排放报告</w:t>
      </w: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rPr>
          <w:rFonts w:ascii="Times New Roman"/>
          <w:szCs w:val="24"/>
          <w:highlight w:val="none"/>
        </w:rPr>
      </w:pPr>
    </w:p>
    <w:p>
      <w:pPr>
        <w:pStyle w:val="229"/>
        <w:ind w:right="1124" w:firstLine="562"/>
        <w:jc w:val="left"/>
        <w:rPr>
          <w:rFonts w:ascii="Times New Roman"/>
          <w:b/>
          <w:sz w:val="28"/>
          <w:szCs w:val="28"/>
          <w:highlight w:val="none"/>
        </w:rPr>
      </w:pPr>
      <w:r>
        <w:rPr>
          <w:rFonts w:ascii="Times New Roman"/>
          <w:b/>
          <w:sz w:val="28"/>
          <w:szCs w:val="28"/>
          <w:highlight w:val="none"/>
        </w:rPr>
        <w:t>报告主体（盖章）：</w:t>
      </w:r>
    </w:p>
    <w:p>
      <w:pPr>
        <w:pStyle w:val="229"/>
        <w:ind w:right="1124" w:firstLine="419" w:firstLineChars="149"/>
        <w:jc w:val="left"/>
        <w:rPr>
          <w:rFonts w:ascii="Times New Roman"/>
          <w:b/>
          <w:sz w:val="28"/>
          <w:szCs w:val="28"/>
          <w:highlight w:val="none"/>
        </w:rPr>
      </w:pPr>
      <w:r>
        <w:rPr>
          <w:rFonts w:ascii="Times New Roman"/>
          <w:b/>
          <w:sz w:val="28"/>
          <w:szCs w:val="28"/>
          <w:highlight w:val="none"/>
        </w:rPr>
        <w:t xml:space="preserve"> 报告年度：</w:t>
      </w:r>
    </w:p>
    <w:p>
      <w:pPr>
        <w:pStyle w:val="229"/>
        <w:ind w:firstLine="562"/>
        <w:jc w:val="left"/>
        <w:rPr>
          <w:rFonts w:ascii="Times New Roman"/>
          <w:b/>
          <w:sz w:val="28"/>
          <w:szCs w:val="28"/>
          <w:highlight w:val="none"/>
        </w:rPr>
      </w:pPr>
      <w:r>
        <w:rPr>
          <w:rFonts w:ascii="Times New Roman"/>
          <w:b/>
          <w:sz w:val="28"/>
          <w:szCs w:val="28"/>
          <w:highlight w:val="none"/>
        </w:rPr>
        <w:t>编制日期：  年   月   日</w:t>
      </w:r>
    </w:p>
    <w:p>
      <w:pPr>
        <w:pStyle w:val="56"/>
        <w:ind w:firstLine="420"/>
        <w:rPr>
          <w:rFonts w:ascii="Times New Roman"/>
          <w:highlight w:val="none"/>
        </w:rPr>
      </w:pPr>
    </w:p>
    <w:p>
      <w:pPr>
        <w:pStyle w:val="56"/>
        <w:ind w:firstLine="420"/>
        <w:rPr>
          <w:rFonts w:ascii="Times New Roman"/>
          <w:highlight w:val="none"/>
        </w:rPr>
      </w:pPr>
    </w:p>
    <w:p>
      <w:pPr>
        <w:pStyle w:val="229"/>
        <w:ind w:firstLine="562"/>
        <w:rPr>
          <w:rFonts w:ascii="Times New Roman"/>
          <w:b/>
          <w:sz w:val="28"/>
          <w:szCs w:val="28"/>
          <w:highlight w:val="none"/>
        </w:rPr>
      </w:pPr>
      <w:r>
        <w:rPr>
          <w:rFonts w:ascii="Times New Roman"/>
          <w:b/>
          <w:color w:val="000000"/>
          <w:sz w:val="28"/>
          <w:szCs w:val="28"/>
          <w:highlight w:val="none"/>
        </w:rPr>
        <w:t>本报告主体核算了</w:t>
      </w:r>
      <w:r>
        <w:rPr>
          <w:rFonts w:ascii="Times New Roman"/>
          <w:b/>
          <w:color w:val="000000"/>
          <w:sz w:val="28"/>
          <w:szCs w:val="28"/>
          <w:highlight w:val="none"/>
          <w:u w:val="single"/>
        </w:rPr>
        <w:t xml:space="preserve">     </w:t>
      </w:r>
      <w:r>
        <w:rPr>
          <w:rFonts w:ascii="Times New Roman"/>
          <w:b/>
          <w:color w:val="000000"/>
          <w:sz w:val="28"/>
          <w:szCs w:val="28"/>
          <w:highlight w:val="none"/>
        </w:rPr>
        <w:t>年度</w:t>
      </w:r>
      <w:r>
        <w:rPr>
          <w:rFonts w:hint="eastAsia" w:ascii="Times New Roman"/>
          <w:b/>
          <w:color w:val="000000"/>
          <w:sz w:val="28"/>
          <w:szCs w:val="28"/>
          <w:highlight w:val="none"/>
        </w:rPr>
        <w:t>温室气体</w:t>
      </w:r>
      <w:r>
        <w:rPr>
          <w:rFonts w:ascii="Times New Roman"/>
          <w:b/>
          <w:color w:val="000000"/>
          <w:sz w:val="28"/>
          <w:szCs w:val="28"/>
          <w:highlight w:val="none"/>
        </w:rPr>
        <w:t>排放量，并填写了相关数据表格，见表A.1~表A.4。现将有关情况报告如下：</w:t>
      </w:r>
    </w:p>
    <w:p>
      <w:pPr>
        <w:pStyle w:val="229"/>
        <w:ind w:firstLine="560"/>
        <w:rPr>
          <w:rFonts w:ascii="Times New Roman"/>
          <w:sz w:val="28"/>
          <w:szCs w:val="28"/>
          <w:highlight w:val="none"/>
        </w:rPr>
      </w:pPr>
      <w:r>
        <w:rPr>
          <w:rFonts w:ascii="Times New Roman"/>
          <w:sz w:val="28"/>
          <w:szCs w:val="28"/>
          <w:highlight w:val="none"/>
        </w:rPr>
        <w:t>一、报告主体基本情况</w:t>
      </w:r>
    </w:p>
    <w:p>
      <w:pPr>
        <w:pStyle w:val="229"/>
        <w:ind w:firstLine="560"/>
        <w:rPr>
          <w:rFonts w:ascii="Times New Roman"/>
          <w:sz w:val="28"/>
          <w:szCs w:val="28"/>
          <w:highlight w:val="none"/>
        </w:rPr>
      </w:pPr>
    </w:p>
    <w:p>
      <w:pPr>
        <w:pStyle w:val="229"/>
        <w:ind w:firstLine="560"/>
        <w:rPr>
          <w:rFonts w:ascii="Times New Roman"/>
          <w:color w:val="000000"/>
          <w:sz w:val="28"/>
          <w:szCs w:val="28"/>
          <w:highlight w:val="none"/>
        </w:rPr>
      </w:pPr>
      <w:r>
        <w:rPr>
          <w:rFonts w:ascii="Times New Roman"/>
          <w:color w:val="000000"/>
          <w:sz w:val="28"/>
          <w:szCs w:val="28"/>
          <w:highlight w:val="none"/>
        </w:rPr>
        <w:t>二、</w:t>
      </w:r>
      <w:r>
        <w:rPr>
          <w:rFonts w:hint="eastAsia" w:ascii="Times New Roman"/>
          <w:color w:val="000000"/>
          <w:sz w:val="28"/>
          <w:szCs w:val="28"/>
          <w:highlight w:val="none"/>
        </w:rPr>
        <w:t>温室气体</w:t>
      </w:r>
      <w:r>
        <w:rPr>
          <w:rFonts w:ascii="Times New Roman"/>
          <w:color w:val="000000"/>
          <w:sz w:val="28"/>
          <w:szCs w:val="28"/>
          <w:highlight w:val="none"/>
        </w:rPr>
        <w:t>排放</w:t>
      </w:r>
    </w:p>
    <w:p>
      <w:pPr>
        <w:pStyle w:val="229"/>
        <w:ind w:firstLine="560"/>
        <w:rPr>
          <w:rFonts w:ascii="Times New Roman"/>
          <w:color w:val="000000"/>
          <w:sz w:val="28"/>
          <w:szCs w:val="28"/>
          <w:highlight w:val="none"/>
        </w:rPr>
      </w:pPr>
    </w:p>
    <w:p>
      <w:pPr>
        <w:pStyle w:val="229"/>
        <w:ind w:firstLine="560"/>
        <w:rPr>
          <w:rFonts w:ascii="Times New Roman"/>
          <w:color w:val="000000"/>
          <w:sz w:val="28"/>
          <w:szCs w:val="28"/>
          <w:highlight w:val="none"/>
        </w:rPr>
      </w:pPr>
      <w:r>
        <w:rPr>
          <w:rFonts w:ascii="Times New Roman"/>
          <w:color w:val="000000"/>
          <w:sz w:val="28"/>
          <w:szCs w:val="28"/>
          <w:highlight w:val="none"/>
        </w:rPr>
        <w:t>三、活动数据及来源说明</w:t>
      </w:r>
    </w:p>
    <w:p>
      <w:pPr>
        <w:pStyle w:val="229"/>
        <w:ind w:firstLine="560"/>
        <w:rPr>
          <w:rFonts w:ascii="Times New Roman"/>
          <w:color w:val="000000"/>
          <w:sz w:val="28"/>
          <w:szCs w:val="28"/>
          <w:highlight w:val="none"/>
        </w:rPr>
      </w:pPr>
    </w:p>
    <w:p>
      <w:pPr>
        <w:pStyle w:val="229"/>
        <w:ind w:firstLine="560"/>
        <w:rPr>
          <w:rFonts w:ascii="Times New Roman"/>
          <w:color w:val="000000"/>
          <w:sz w:val="28"/>
          <w:szCs w:val="28"/>
          <w:highlight w:val="none"/>
        </w:rPr>
      </w:pPr>
      <w:r>
        <w:rPr>
          <w:rFonts w:ascii="Times New Roman"/>
          <w:color w:val="000000"/>
          <w:sz w:val="28"/>
          <w:szCs w:val="28"/>
          <w:highlight w:val="none"/>
        </w:rPr>
        <w:t>四、排放因子数据及来源说明</w:t>
      </w:r>
    </w:p>
    <w:p>
      <w:pPr>
        <w:pStyle w:val="229"/>
        <w:ind w:firstLine="560"/>
        <w:rPr>
          <w:rFonts w:ascii="Times New Roman"/>
          <w:color w:val="000000"/>
          <w:sz w:val="28"/>
          <w:szCs w:val="28"/>
          <w:highlight w:val="none"/>
        </w:rPr>
      </w:pPr>
    </w:p>
    <w:p>
      <w:pPr>
        <w:pStyle w:val="229"/>
        <w:ind w:firstLine="560"/>
        <w:rPr>
          <w:rFonts w:ascii="Times New Roman"/>
          <w:color w:val="000000"/>
          <w:sz w:val="28"/>
          <w:szCs w:val="28"/>
          <w:highlight w:val="none"/>
        </w:rPr>
      </w:pPr>
      <w:r>
        <w:rPr>
          <w:rFonts w:ascii="Times New Roman"/>
          <w:color w:val="000000"/>
          <w:sz w:val="28"/>
          <w:szCs w:val="28"/>
          <w:highlight w:val="none"/>
        </w:rPr>
        <w:t>五、其他需要说明的情况</w:t>
      </w:r>
    </w:p>
    <w:p>
      <w:pPr>
        <w:pStyle w:val="229"/>
        <w:ind w:firstLine="560"/>
        <w:rPr>
          <w:rFonts w:ascii="Times New Roman"/>
          <w:color w:val="000000"/>
          <w:sz w:val="28"/>
          <w:szCs w:val="28"/>
          <w:highlight w:val="none"/>
        </w:rPr>
      </w:pPr>
    </w:p>
    <w:p>
      <w:pPr>
        <w:pStyle w:val="229"/>
        <w:ind w:firstLine="560"/>
        <w:rPr>
          <w:rFonts w:ascii="Times New Roman"/>
          <w:sz w:val="28"/>
          <w:szCs w:val="28"/>
          <w:highlight w:val="none"/>
        </w:rPr>
      </w:pPr>
      <w:r>
        <w:rPr>
          <w:rFonts w:ascii="Times New Roman"/>
          <w:color w:val="000000"/>
          <w:sz w:val="28"/>
          <w:szCs w:val="28"/>
          <w:highlight w:val="none"/>
        </w:rPr>
        <w:t>本企业承诺对本报告的真实性负责。</w:t>
      </w:r>
    </w:p>
    <w:p>
      <w:pPr>
        <w:pStyle w:val="229"/>
        <w:ind w:firstLine="560"/>
        <w:rPr>
          <w:rFonts w:ascii="Times New Roman"/>
          <w:sz w:val="28"/>
          <w:szCs w:val="28"/>
          <w:highlight w:val="none"/>
        </w:rPr>
      </w:pPr>
    </w:p>
    <w:p>
      <w:pPr>
        <w:pStyle w:val="229"/>
        <w:ind w:firstLine="560"/>
        <w:jc w:val="right"/>
        <w:rPr>
          <w:rFonts w:ascii="Times New Roman"/>
          <w:sz w:val="28"/>
          <w:szCs w:val="28"/>
          <w:highlight w:val="none"/>
        </w:rPr>
      </w:pPr>
    </w:p>
    <w:p>
      <w:pPr>
        <w:pStyle w:val="229"/>
        <w:ind w:firstLine="560"/>
        <w:jc w:val="right"/>
        <w:rPr>
          <w:rFonts w:ascii="Times New Roman"/>
          <w:sz w:val="28"/>
          <w:szCs w:val="28"/>
          <w:highlight w:val="none"/>
        </w:rPr>
      </w:pPr>
    </w:p>
    <w:p>
      <w:pPr>
        <w:wordWrap w:val="0"/>
        <w:autoSpaceDE w:val="0"/>
        <w:autoSpaceDN w:val="0"/>
        <w:ind w:firstLine="600"/>
        <w:jc w:val="right"/>
        <w:rPr>
          <w:rFonts w:ascii="Times New Roman" w:hAnsi="Times New Roman"/>
          <w:sz w:val="28"/>
          <w:szCs w:val="28"/>
          <w:highlight w:val="none"/>
        </w:rPr>
      </w:pPr>
      <w:r>
        <w:rPr>
          <w:rFonts w:ascii="Times New Roman" w:hAnsi="Times New Roman"/>
          <w:color w:val="000000"/>
          <w:sz w:val="28"/>
          <w:szCs w:val="28"/>
          <w:highlight w:val="none"/>
        </w:rPr>
        <w:t xml:space="preserve">法定代表人或授权代表（签字）:          </w:t>
      </w:r>
    </w:p>
    <w:p>
      <w:pPr>
        <w:autoSpaceDE w:val="0"/>
        <w:autoSpaceDN w:val="0"/>
        <w:ind w:firstLine="600"/>
        <w:jc w:val="right"/>
        <w:rPr>
          <w:rFonts w:ascii="Times New Roman" w:hAnsi="Times New Roman"/>
          <w:sz w:val="28"/>
          <w:szCs w:val="28"/>
          <w:highlight w:val="none"/>
        </w:rPr>
      </w:pPr>
      <w:r>
        <w:rPr>
          <w:rFonts w:ascii="Times New Roman" w:hAnsi="Times New Roman"/>
          <w:sz w:val="28"/>
          <w:szCs w:val="28"/>
          <w:highlight w:val="none"/>
        </w:rPr>
        <w:t>年   月   日</w:t>
      </w:r>
    </w:p>
    <w:p>
      <w:pPr>
        <w:pStyle w:val="229"/>
        <w:wordWrap w:val="0"/>
        <w:ind w:firstLine="560"/>
        <w:jc w:val="right"/>
        <w:rPr>
          <w:rFonts w:ascii="Times New Roman"/>
          <w:sz w:val="28"/>
          <w:szCs w:val="28"/>
          <w:highlight w:val="none"/>
        </w:rPr>
      </w:pPr>
      <w:r>
        <w:rPr>
          <w:rFonts w:ascii="Times New Roman"/>
          <w:sz w:val="28"/>
          <w:szCs w:val="28"/>
          <w:highlight w:val="none"/>
        </w:rPr>
        <w:br w:type="page"/>
      </w:r>
    </w:p>
    <w:p>
      <w:pPr>
        <w:pStyle w:val="77"/>
        <w:spacing w:before="156" w:after="156"/>
        <w:rPr>
          <w:rFonts w:ascii="Times New Roman"/>
          <w:highlight w:val="none"/>
        </w:rPr>
      </w:pPr>
      <w:r>
        <w:rPr>
          <w:rFonts w:ascii="Times New Roman"/>
          <w:highlight w:val="none"/>
        </w:rPr>
        <w:t>报告主体</w:t>
      </w:r>
      <w:r>
        <w:rPr>
          <w:rFonts w:ascii="Times New Roman"/>
          <w:highlight w:val="none"/>
          <w:u w:val="single"/>
        </w:rPr>
        <w:t xml:space="preserve">      </w:t>
      </w:r>
      <w:r>
        <w:rPr>
          <w:rFonts w:ascii="Times New Roman"/>
          <w:highlight w:val="none"/>
        </w:rPr>
        <w:t>年</w:t>
      </w:r>
      <w:r>
        <w:rPr>
          <w:rFonts w:hint="eastAsia" w:ascii="Times New Roman"/>
          <w:highlight w:val="none"/>
        </w:rPr>
        <w:t>温室气体</w:t>
      </w:r>
      <w:r>
        <w:rPr>
          <w:rFonts w:ascii="Times New Roman"/>
          <w:highlight w:val="none"/>
        </w:rPr>
        <w:t>排放</w:t>
      </w:r>
      <w:r>
        <w:rPr>
          <w:rFonts w:hint="eastAsia" w:ascii="Times New Roman"/>
          <w:highlight w:val="none"/>
        </w:rPr>
        <w:t>汇总</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4"/>
        <w:gridCol w:w="4464"/>
        <w:gridCol w:w="2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b/>
                <w:bCs/>
                <w:sz w:val="18"/>
                <w:szCs w:val="18"/>
                <w:highlight w:val="none"/>
              </w:rPr>
            </w:pPr>
            <w:r>
              <w:rPr>
                <w:rFonts w:hint="eastAsia" w:ascii="Times New Roman" w:hAnsi="Times New Roman"/>
                <w:b/>
                <w:bCs/>
                <w:sz w:val="18"/>
                <w:szCs w:val="18"/>
                <w:highlight w:val="none"/>
              </w:rPr>
              <w:t>排放</w:t>
            </w:r>
            <w:r>
              <w:rPr>
                <w:rFonts w:ascii="Times New Roman" w:hAnsi="Times New Roman"/>
                <w:b/>
                <w:bCs/>
                <w:sz w:val="18"/>
                <w:szCs w:val="18"/>
                <w:highlight w:val="none"/>
              </w:rPr>
              <w:t>源</w:t>
            </w:r>
            <w:r>
              <w:rPr>
                <w:rFonts w:hint="eastAsia" w:ascii="Times New Roman" w:hAnsi="Times New Roman"/>
                <w:b/>
                <w:bCs/>
                <w:sz w:val="18"/>
                <w:szCs w:val="18"/>
                <w:highlight w:val="none"/>
              </w:rPr>
              <w:t>类型</w:t>
            </w:r>
          </w:p>
        </w:tc>
        <w:tc>
          <w:tcPr>
            <w:tcW w:w="1286" w:type="pct"/>
            <w:tcBorders>
              <w:top w:val="single" w:color="auto" w:sz="4" w:space="0"/>
              <w:left w:val="single" w:color="auto" w:sz="4" w:space="0"/>
              <w:right w:val="single" w:color="auto" w:sz="4" w:space="0"/>
            </w:tcBorders>
            <w:vAlign w:val="center"/>
          </w:tcPr>
          <w:p>
            <w:pPr>
              <w:snapToGrid w:val="0"/>
              <w:spacing w:line="240" w:lineRule="auto"/>
              <w:jc w:val="center"/>
              <w:rPr>
                <w:rFonts w:ascii="Times New Roman" w:hAnsi="Times New Roman"/>
                <w:b/>
                <w:bCs/>
                <w:sz w:val="18"/>
                <w:szCs w:val="18"/>
                <w:highlight w:val="none"/>
              </w:rPr>
            </w:pPr>
            <w:r>
              <w:rPr>
                <w:rFonts w:ascii="Times New Roman" w:hAnsi="Times New Roman"/>
                <w:b/>
                <w:bCs/>
                <w:sz w:val="18"/>
                <w:szCs w:val="18"/>
                <w:highlight w:val="none"/>
              </w:rPr>
              <w:t>排放量（tCO</w:t>
            </w:r>
            <w:r>
              <w:rPr>
                <w:rFonts w:ascii="Times New Roman" w:hAnsi="Times New Roman"/>
                <w:b/>
                <w:bCs/>
                <w:sz w:val="18"/>
                <w:szCs w:val="18"/>
                <w:highlight w:val="none"/>
                <w:vertAlign w:val="subscript"/>
              </w:rPr>
              <w:t>2</w:t>
            </w:r>
            <w:r>
              <w:rPr>
                <w:rFonts w:ascii="Times New Roman" w:hAnsi="Times New Roman"/>
                <w:b/>
                <w:bCs/>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b/>
                <w:kern w:val="0"/>
                <w:sz w:val="18"/>
                <w:szCs w:val="18"/>
                <w:highlight w:val="none"/>
              </w:rPr>
            </w:pPr>
            <w:r>
              <w:rPr>
                <w:rFonts w:ascii="Times New Roman" w:hAnsi="Times New Roman"/>
                <w:sz w:val="18"/>
                <w:szCs w:val="18"/>
                <w:highlight w:val="none"/>
              </w:rPr>
              <w:t>化石燃料燃烧二氧化碳排放</w:t>
            </w:r>
          </w:p>
        </w:tc>
        <w:tc>
          <w:tcPr>
            <w:tcW w:w="1286" w:type="pct"/>
            <w:tcBorders>
              <w:left w:val="single" w:color="auto" w:sz="4" w:space="0"/>
              <w:right w:val="single" w:color="auto" w:sz="4" w:space="0"/>
            </w:tcBorders>
            <w:vAlign w:val="center"/>
          </w:tcPr>
          <w:p>
            <w:pPr>
              <w:snapToGrid w:val="0"/>
              <w:spacing w:line="240" w:lineRule="auto"/>
              <w:jc w:val="center"/>
              <w:rPr>
                <w:rFonts w:ascii="Times New Roman" w:hAnsi="Times New Roman"/>
                <w:b/>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highlight w:val="none"/>
              </w:rPr>
            </w:pPr>
            <w:r>
              <w:rPr>
                <w:rFonts w:hint="eastAsia" w:ascii="Times New Roman" w:hAnsi="Times New Roman"/>
                <w:sz w:val="18"/>
                <w:szCs w:val="18"/>
                <w:highlight w:val="none"/>
                <w:lang w:val="en-US" w:eastAsia="zh-CN"/>
              </w:rPr>
              <w:t>净</w:t>
            </w:r>
            <w:r>
              <w:rPr>
                <w:rFonts w:ascii="Times New Roman" w:hAnsi="Times New Roman"/>
                <w:sz w:val="18"/>
                <w:szCs w:val="18"/>
                <w:highlight w:val="none"/>
              </w:rPr>
              <w:t>购入</w:t>
            </w:r>
            <w:r>
              <w:rPr>
                <w:rFonts w:hint="eastAsia" w:ascii="Times New Roman" w:hAnsi="Times New Roman"/>
                <w:sz w:val="18"/>
                <w:szCs w:val="18"/>
                <w:highlight w:val="none"/>
                <w:lang w:val="en-US" w:eastAsia="zh-CN"/>
              </w:rPr>
              <w:t>使用</w:t>
            </w:r>
            <w:r>
              <w:rPr>
                <w:rFonts w:ascii="Times New Roman" w:hAnsi="Times New Roman"/>
                <w:sz w:val="18"/>
                <w:szCs w:val="18"/>
                <w:highlight w:val="none"/>
              </w:rPr>
              <w:t>电力产生的二氧化碳排放</w:t>
            </w:r>
          </w:p>
        </w:tc>
        <w:tc>
          <w:tcPr>
            <w:tcW w:w="1286" w:type="pct"/>
            <w:tcBorders>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highlight w:val="none"/>
              </w:rPr>
            </w:pPr>
            <w:r>
              <w:rPr>
                <w:rFonts w:hint="eastAsia" w:ascii="Times New Roman" w:hAnsi="Times New Roman"/>
                <w:sz w:val="18"/>
                <w:szCs w:val="18"/>
                <w:highlight w:val="none"/>
                <w:lang w:val="en-US" w:eastAsia="zh-CN"/>
              </w:rPr>
              <w:t>净</w:t>
            </w:r>
            <w:r>
              <w:rPr>
                <w:rFonts w:ascii="Times New Roman" w:hAnsi="Times New Roman"/>
                <w:sz w:val="18"/>
                <w:szCs w:val="18"/>
                <w:highlight w:val="none"/>
              </w:rPr>
              <w:t>购入</w:t>
            </w:r>
            <w:r>
              <w:rPr>
                <w:rFonts w:hint="eastAsia" w:ascii="Times New Roman" w:hAnsi="Times New Roman"/>
                <w:sz w:val="18"/>
                <w:szCs w:val="18"/>
                <w:highlight w:val="none"/>
                <w:lang w:val="en-US" w:eastAsia="zh-CN"/>
              </w:rPr>
              <w:t>使用</w:t>
            </w:r>
            <w:r>
              <w:rPr>
                <w:rFonts w:ascii="Times New Roman" w:hAnsi="Times New Roman"/>
                <w:sz w:val="18"/>
                <w:szCs w:val="18"/>
                <w:highlight w:val="none"/>
              </w:rPr>
              <w:t>热力产生的二氧化碳排放</w:t>
            </w:r>
          </w:p>
        </w:tc>
        <w:tc>
          <w:tcPr>
            <w:tcW w:w="1286" w:type="pct"/>
            <w:tcBorders>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81" w:type="pct"/>
            <w:vMerge w:val="restart"/>
            <w:tcBorders>
              <w:top w:val="single" w:color="auto" w:sz="4" w:space="0"/>
              <w:left w:val="single" w:color="auto" w:sz="4" w:space="0"/>
              <w:right w:val="single" w:color="auto" w:sz="4" w:space="0"/>
            </w:tcBorders>
            <w:vAlign w:val="center"/>
          </w:tcPr>
          <w:p>
            <w:pPr>
              <w:snapToGrid w:val="0"/>
              <w:spacing w:line="240" w:lineRule="auto"/>
              <w:jc w:val="center"/>
              <w:rPr>
                <w:rFonts w:ascii="Times New Roman" w:hAnsi="Times New Roman"/>
                <w:b/>
                <w:sz w:val="18"/>
                <w:szCs w:val="18"/>
                <w:highlight w:val="none"/>
              </w:rPr>
            </w:pPr>
            <w:r>
              <w:rPr>
                <w:rFonts w:ascii="Times New Roman" w:hAnsi="Times New Roman"/>
                <w:b/>
                <w:sz w:val="18"/>
                <w:szCs w:val="18"/>
                <w:highlight w:val="none"/>
              </w:rPr>
              <w:t>报告主体</w:t>
            </w:r>
            <w:r>
              <w:rPr>
                <w:rFonts w:hint="eastAsia" w:ascii="Times New Roman" w:hAnsi="Times New Roman"/>
                <w:b/>
                <w:sz w:val="18"/>
                <w:szCs w:val="18"/>
                <w:highlight w:val="none"/>
              </w:rPr>
              <w:t>温室气体</w:t>
            </w:r>
            <w:r>
              <w:rPr>
                <w:rFonts w:ascii="Times New Roman" w:hAnsi="Times New Roman"/>
                <w:b/>
                <w:sz w:val="18"/>
                <w:szCs w:val="18"/>
                <w:highlight w:val="none"/>
              </w:rPr>
              <w:t>排放总量</w:t>
            </w:r>
          </w:p>
        </w:tc>
        <w:tc>
          <w:tcPr>
            <w:tcW w:w="2331" w:type="pct"/>
            <w:tcBorders>
              <w:top w:val="single" w:color="auto" w:sz="4" w:space="0"/>
              <w:left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不包括</w:t>
            </w:r>
            <w:r>
              <w:rPr>
                <w:rFonts w:hint="eastAsia" w:ascii="Times New Roman" w:hAnsi="Times New Roman"/>
                <w:sz w:val="18"/>
                <w:szCs w:val="18"/>
                <w:highlight w:val="none"/>
                <w:lang w:val="en-US" w:eastAsia="zh-CN"/>
              </w:rPr>
              <w:t>净购入使用</w:t>
            </w:r>
            <w:r>
              <w:rPr>
                <w:rFonts w:ascii="Times New Roman" w:hAnsi="Times New Roman"/>
                <w:sz w:val="18"/>
                <w:szCs w:val="18"/>
                <w:highlight w:val="none"/>
              </w:rPr>
              <w:t>电力和热力</w:t>
            </w:r>
            <w:r>
              <w:rPr>
                <w:rFonts w:ascii="Times New Roman" w:hAnsi="Times New Roman"/>
                <w:color w:val="000000"/>
                <w:kern w:val="0"/>
                <w:sz w:val="18"/>
                <w:szCs w:val="18"/>
                <w:highlight w:val="none"/>
              </w:rPr>
              <w:t>产生</w:t>
            </w:r>
            <w:r>
              <w:rPr>
                <w:rFonts w:ascii="Times New Roman" w:hAnsi="Times New Roman"/>
                <w:sz w:val="18"/>
                <w:szCs w:val="18"/>
                <w:highlight w:val="none"/>
              </w:rPr>
              <w:t>的二氧化碳排放</w:t>
            </w:r>
          </w:p>
        </w:tc>
        <w:tc>
          <w:tcPr>
            <w:tcW w:w="1286" w:type="pct"/>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81" w:type="pct"/>
            <w:vMerge w:val="continue"/>
            <w:tcBorders>
              <w:left w:val="single" w:color="auto" w:sz="4" w:space="0"/>
              <w:right w:val="single" w:color="auto" w:sz="4" w:space="0"/>
            </w:tcBorders>
            <w:vAlign w:val="center"/>
          </w:tcPr>
          <w:p>
            <w:pPr>
              <w:snapToGrid w:val="0"/>
              <w:spacing w:line="240" w:lineRule="auto"/>
              <w:jc w:val="center"/>
              <w:rPr>
                <w:rFonts w:ascii="Times New Roman" w:hAnsi="Times New Roman"/>
                <w:sz w:val="18"/>
                <w:szCs w:val="18"/>
                <w:highlight w:val="none"/>
              </w:rPr>
            </w:pPr>
          </w:p>
        </w:tc>
        <w:tc>
          <w:tcPr>
            <w:tcW w:w="2331" w:type="pct"/>
            <w:tcBorders>
              <w:left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包括</w:t>
            </w:r>
            <w:r>
              <w:rPr>
                <w:rFonts w:hint="eastAsia" w:ascii="Times New Roman" w:hAnsi="Times New Roman"/>
                <w:sz w:val="18"/>
                <w:szCs w:val="18"/>
                <w:highlight w:val="none"/>
                <w:lang w:val="en-US" w:eastAsia="zh-CN"/>
              </w:rPr>
              <w:t>净</w:t>
            </w:r>
            <w:r>
              <w:rPr>
                <w:rFonts w:ascii="Times New Roman" w:hAnsi="Times New Roman"/>
                <w:sz w:val="18"/>
                <w:szCs w:val="18"/>
                <w:highlight w:val="none"/>
              </w:rPr>
              <w:t>购入</w:t>
            </w:r>
            <w:r>
              <w:rPr>
                <w:rFonts w:hint="eastAsia" w:ascii="Times New Roman" w:hAnsi="Times New Roman"/>
                <w:sz w:val="18"/>
                <w:szCs w:val="18"/>
                <w:highlight w:val="none"/>
                <w:lang w:val="en-US" w:eastAsia="zh-CN"/>
              </w:rPr>
              <w:t>使用</w:t>
            </w:r>
            <w:r>
              <w:rPr>
                <w:rFonts w:ascii="Times New Roman" w:hAnsi="Times New Roman"/>
                <w:sz w:val="18"/>
                <w:szCs w:val="18"/>
                <w:highlight w:val="none"/>
              </w:rPr>
              <w:t>电力和热力</w:t>
            </w:r>
            <w:r>
              <w:rPr>
                <w:rFonts w:ascii="Times New Roman" w:hAnsi="Times New Roman"/>
                <w:color w:val="000000"/>
                <w:kern w:val="0"/>
                <w:sz w:val="18"/>
                <w:szCs w:val="18"/>
                <w:highlight w:val="none"/>
              </w:rPr>
              <w:t>产生</w:t>
            </w:r>
            <w:r>
              <w:rPr>
                <w:rFonts w:ascii="Times New Roman" w:hAnsi="Times New Roman"/>
                <w:sz w:val="18"/>
                <w:szCs w:val="18"/>
                <w:highlight w:val="none"/>
              </w:rPr>
              <w:t>的二氧化碳排放</w:t>
            </w:r>
          </w:p>
        </w:tc>
        <w:tc>
          <w:tcPr>
            <w:tcW w:w="1286" w:type="pct"/>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highlight w:val="none"/>
              </w:rPr>
            </w:pPr>
          </w:p>
        </w:tc>
      </w:tr>
    </w:tbl>
    <w:p>
      <w:pPr>
        <w:pStyle w:val="56"/>
        <w:ind w:firstLine="420"/>
        <w:rPr>
          <w:rFonts w:ascii="Times New Roman"/>
          <w:highlight w:val="none"/>
        </w:rPr>
      </w:pPr>
    </w:p>
    <w:p>
      <w:pPr>
        <w:pStyle w:val="77"/>
        <w:spacing w:before="156" w:after="156"/>
        <w:rPr>
          <w:rFonts w:ascii="Times New Roman"/>
          <w:highlight w:val="none"/>
        </w:rPr>
      </w:pPr>
      <w:r>
        <w:rPr>
          <w:rFonts w:ascii="Times New Roman"/>
          <w:highlight w:val="none"/>
        </w:rPr>
        <w:t>化石燃料燃烧的活动数据和排放因子数据一览表</w:t>
      </w:r>
    </w:p>
    <w:tbl>
      <w:tblPr>
        <w:tblStyle w:val="26"/>
        <w:tblW w:w="9360" w:type="dxa"/>
        <w:jc w:val="center"/>
        <w:tblLayout w:type="fixed"/>
        <w:tblCellMar>
          <w:top w:w="0" w:type="dxa"/>
          <w:left w:w="108" w:type="dxa"/>
          <w:bottom w:w="0" w:type="dxa"/>
          <w:right w:w="108" w:type="dxa"/>
        </w:tblCellMar>
      </w:tblPr>
      <w:tblGrid>
        <w:gridCol w:w="1413"/>
        <w:gridCol w:w="1276"/>
        <w:gridCol w:w="992"/>
        <w:gridCol w:w="1701"/>
        <w:gridCol w:w="1276"/>
        <w:gridCol w:w="1001"/>
        <w:gridCol w:w="1701"/>
      </w:tblGrid>
      <w:tr>
        <w:tblPrEx>
          <w:tblCellMar>
            <w:top w:w="0" w:type="dxa"/>
            <w:left w:w="108" w:type="dxa"/>
            <w:bottom w:w="0" w:type="dxa"/>
            <w:right w:w="108" w:type="dxa"/>
          </w:tblCellMar>
        </w:tblPrEx>
        <w:trPr>
          <w:trHeight w:val="283" w:hRule="atLeast"/>
          <w:jc w:val="center"/>
        </w:trPr>
        <w:tc>
          <w:tcPr>
            <w:tcW w:w="1413" w:type="dxa"/>
            <w:vMerge w:val="restart"/>
            <w:tcBorders>
              <w:top w:val="single" w:color="auto" w:sz="4" w:space="0"/>
              <w:left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燃料品种</w:t>
            </w:r>
          </w:p>
        </w:tc>
        <w:tc>
          <w:tcPr>
            <w:tcW w:w="1276" w:type="dxa"/>
            <w:vMerge w:val="restart"/>
            <w:tcBorders>
              <w:top w:val="single" w:color="auto" w:sz="4" w:space="0"/>
              <w:left w:val="nil"/>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消费量</w:t>
            </w:r>
          </w:p>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b/>
                <w:color w:val="000000"/>
                <w:kern w:val="0"/>
                <w:sz w:val="18"/>
                <w:szCs w:val="18"/>
                <w:highlight w:val="none"/>
              </w:rPr>
              <w:t>（t或10</w:t>
            </w:r>
            <w:r>
              <w:rPr>
                <w:rFonts w:ascii="Times New Roman" w:hAnsi="Times New Roman"/>
                <w:b/>
                <w:color w:val="000000"/>
                <w:kern w:val="0"/>
                <w:sz w:val="18"/>
                <w:szCs w:val="18"/>
                <w:highlight w:val="none"/>
                <w:vertAlign w:val="superscript"/>
              </w:rPr>
              <w:t>4</w:t>
            </w:r>
            <w:r>
              <w:rPr>
                <w:rFonts w:ascii="Times New Roman" w:hAnsi="Times New Roman"/>
                <w:b/>
                <w:color w:val="000000"/>
                <w:kern w:val="0"/>
                <w:sz w:val="18"/>
                <w:szCs w:val="18"/>
                <w:highlight w:val="none"/>
              </w:rPr>
              <w:t>m</w:t>
            </w:r>
            <w:r>
              <w:rPr>
                <w:rFonts w:ascii="Times New Roman" w:hAnsi="Times New Roman"/>
                <w:b/>
                <w:color w:val="000000"/>
                <w:kern w:val="0"/>
                <w:sz w:val="18"/>
                <w:szCs w:val="18"/>
                <w:highlight w:val="none"/>
                <w:vertAlign w:val="superscript"/>
              </w:rPr>
              <w:t>3</w:t>
            </w:r>
            <w:r>
              <w:rPr>
                <w:rFonts w:ascii="Times New Roman" w:hAnsi="Times New Roman"/>
                <w:b/>
                <w:color w:val="000000"/>
                <w:kern w:val="0"/>
                <w:sz w:val="18"/>
                <w:szCs w:val="18"/>
                <w:highlight w:val="none"/>
              </w:rPr>
              <w:t>）</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vertAlign w:val="superscript"/>
              </w:rPr>
            </w:pPr>
            <w:r>
              <w:rPr>
                <w:rFonts w:ascii="Times New Roman" w:hAnsi="Times New Roman"/>
                <w:b/>
                <w:color w:val="000000"/>
                <w:kern w:val="0"/>
                <w:sz w:val="18"/>
                <w:szCs w:val="18"/>
                <w:highlight w:val="none"/>
              </w:rPr>
              <w:t>低位发热量</w:t>
            </w:r>
          </w:p>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b/>
                <w:color w:val="000000"/>
                <w:kern w:val="0"/>
                <w:sz w:val="18"/>
                <w:szCs w:val="18"/>
                <w:highlight w:val="none"/>
              </w:rPr>
              <w:t>（GJ/t或GJ/10</w:t>
            </w:r>
            <w:r>
              <w:rPr>
                <w:rFonts w:ascii="Times New Roman" w:hAnsi="Times New Roman"/>
                <w:b/>
                <w:color w:val="000000"/>
                <w:kern w:val="0"/>
                <w:sz w:val="18"/>
                <w:szCs w:val="18"/>
                <w:highlight w:val="none"/>
                <w:vertAlign w:val="superscript"/>
              </w:rPr>
              <w:t>4</w:t>
            </w:r>
            <w:r>
              <w:rPr>
                <w:rFonts w:ascii="Times New Roman" w:hAnsi="Times New Roman"/>
                <w:b/>
                <w:color w:val="000000"/>
                <w:kern w:val="0"/>
                <w:sz w:val="18"/>
                <w:szCs w:val="18"/>
                <w:highlight w:val="none"/>
              </w:rPr>
              <w:t>m</w:t>
            </w:r>
            <w:r>
              <w:rPr>
                <w:rFonts w:ascii="Times New Roman" w:hAnsi="Times New Roman"/>
                <w:b/>
                <w:color w:val="000000"/>
                <w:kern w:val="0"/>
                <w:sz w:val="18"/>
                <w:szCs w:val="18"/>
                <w:highlight w:val="none"/>
                <w:vertAlign w:val="superscript"/>
              </w:rPr>
              <w:t>3</w:t>
            </w:r>
            <w:r>
              <w:rPr>
                <w:rFonts w:ascii="Times New Roman" w:hAnsi="Times New Roman"/>
                <w:b/>
                <w:color w:val="000000"/>
                <w:kern w:val="0"/>
                <w:sz w:val="18"/>
                <w:szCs w:val="18"/>
                <w:highlight w:val="none"/>
              </w:rPr>
              <w:t>）</w:t>
            </w:r>
          </w:p>
        </w:tc>
        <w:tc>
          <w:tcPr>
            <w:tcW w:w="1276" w:type="dxa"/>
            <w:vMerge w:val="restart"/>
            <w:tcBorders>
              <w:top w:val="single" w:color="auto" w:sz="4" w:space="0"/>
              <w:left w:val="nil"/>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单位热值含碳量</w:t>
            </w:r>
          </w:p>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b/>
                <w:color w:val="000000"/>
                <w:kern w:val="0"/>
                <w:sz w:val="18"/>
                <w:szCs w:val="18"/>
                <w:highlight w:val="none"/>
              </w:rPr>
              <w:t>（tC/GJ）</w:t>
            </w:r>
          </w:p>
        </w:tc>
        <w:tc>
          <w:tcPr>
            <w:tcW w:w="2702"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b/>
                <w:color w:val="000000"/>
                <w:kern w:val="0"/>
                <w:sz w:val="18"/>
                <w:szCs w:val="18"/>
                <w:highlight w:val="none"/>
              </w:rPr>
              <w:t>碳氧化率（%）</w:t>
            </w:r>
          </w:p>
        </w:tc>
      </w:tr>
      <w:tr>
        <w:tblPrEx>
          <w:tblCellMar>
            <w:top w:w="0" w:type="dxa"/>
            <w:left w:w="108" w:type="dxa"/>
            <w:bottom w:w="0" w:type="dxa"/>
            <w:right w:w="108" w:type="dxa"/>
          </w:tblCellMar>
        </w:tblPrEx>
        <w:trPr>
          <w:trHeight w:val="283" w:hRule="atLeast"/>
          <w:jc w:val="center"/>
        </w:trPr>
        <w:tc>
          <w:tcPr>
            <w:tcW w:w="1413" w:type="dxa"/>
            <w:vMerge w:val="continue"/>
            <w:tcBorders>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276" w:type="dxa"/>
            <w:vMerge w:val="continue"/>
            <w:tcBorders>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b/>
                <w:color w:val="000000"/>
                <w:kern w:val="0"/>
                <w:sz w:val="18"/>
                <w:szCs w:val="18"/>
                <w:highlight w:val="none"/>
              </w:rPr>
              <w:t>数据</w:t>
            </w: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b/>
                <w:color w:val="000000"/>
                <w:kern w:val="0"/>
                <w:sz w:val="18"/>
                <w:szCs w:val="18"/>
                <w:highlight w:val="none"/>
              </w:rPr>
              <w:t>数据来源</w:t>
            </w:r>
          </w:p>
        </w:tc>
        <w:tc>
          <w:tcPr>
            <w:tcW w:w="1276" w:type="dxa"/>
            <w:vMerge w:val="continue"/>
            <w:tcBorders>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数据</w:t>
            </w: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b/>
                <w:color w:val="000000"/>
                <w:kern w:val="0"/>
                <w:sz w:val="18"/>
                <w:szCs w:val="18"/>
                <w:highlight w:val="none"/>
              </w:rPr>
              <w:t>数据来源</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无烟煤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烟煤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褐煤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洗精煤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其它洗煤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型煤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其他煤制品</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kern w:val="0"/>
                <w:sz w:val="18"/>
                <w:szCs w:val="18"/>
                <w:highlight w:val="none"/>
              </w:rPr>
              <w:t>焦炭</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原油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燃料油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汽油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柴油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一般煤油</w:t>
            </w:r>
          </w:p>
        </w:tc>
        <w:tc>
          <w:tcPr>
            <w:tcW w:w="1276"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液化天然气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液化石油气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石脑油</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焦油</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粗苯</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其它石油制品</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天然气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高炉煤气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kern w:val="0"/>
                <w:sz w:val="18"/>
                <w:szCs w:val="18"/>
                <w:highlight w:val="none"/>
              </w:rPr>
              <w:t>转炉煤气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焦炉煤气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炼厂干气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其它煤气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sz w:val="18"/>
                <w:szCs w:val="18"/>
                <w:highlight w:val="none"/>
              </w:rPr>
              <w:t>乙炔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sz w:val="18"/>
                <w:szCs w:val="18"/>
                <w:highlight w:val="none"/>
              </w:rPr>
              <w:t>丙烷</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其它能源品种</w:t>
            </w:r>
            <w:r>
              <w:rPr>
                <w:rFonts w:ascii="Times New Roman" w:hAnsi="Times New Roman"/>
                <w:color w:val="000000"/>
                <w:kern w:val="0"/>
                <w:sz w:val="18"/>
                <w:szCs w:val="18"/>
                <w:highlight w:val="none"/>
                <w:vertAlign w:val="superscript"/>
              </w:rPr>
              <w:t>a</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□实测值 □缺省值</w:t>
            </w:r>
          </w:p>
        </w:tc>
      </w:tr>
      <w:tr>
        <w:tblPrEx>
          <w:tblCellMar>
            <w:top w:w="0" w:type="dxa"/>
            <w:left w:w="108" w:type="dxa"/>
            <w:bottom w:w="0" w:type="dxa"/>
            <w:right w:w="108" w:type="dxa"/>
          </w:tblCellMar>
        </w:tblPrEx>
        <w:trPr>
          <w:trHeight w:val="283" w:hRule="atLeast"/>
          <w:jc w:val="center"/>
        </w:trPr>
        <w:tc>
          <w:tcPr>
            <w:tcW w:w="9360" w:type="dxa"/>
            <w:gridSpan w:val="7"/>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rPr>
                <w:rFonts w:ascii="Times New Roman" w:hAnsi="Times New Roman"/>
                <w:color w:val="000000"/>
                <w:kern w:val="0"/>
                <w:sz w:val="18"/>
                <w:szCs w:val="18"/>
                <w:highlight w:val="none"/>
              </w:rPr>
            </w:pPr>
            <w:r>
              <w:rPr>
                <w:rFonts w:ascii="Times New Roman" w:hAnsi="Times New Roman"/>
                <w:kern w:val="0"/>
                <w:highlight w:val="none"/>
                <w:vertAlign w:val="superscript"/>
              </w:rPr>
              <w:t>a</w:t>
            </w:r>
            <w:r>
              <w:rPr>
                <w:rFonts w:ascii="Times New Roman" w:hAnsi="Times New Roman"/>
                <w:color w:val="000000"/>
                <w:kern w:val="0"/>
                <w:sz w:val="18"/>
                <w:szCs w:val="18"/>
                <w:highlight w:val="none"/>
              </w:rPr>
              <w:t>若</w:t>
            </w:r>
            <w:r>
              <w:rPr>
                <w:rFonts w:hint="eastAsia" w:ascii="Times New Roman" w:hAnsi="Times New Roman"/>
                <w:color w:val="000000"/>
                <w:kern w:val="0"/>
                <w:sz w:val="18"/>
                <w:szCs w:val="18"/>
                <w:highlight w:val="none"/>
              </w:rPr>
              <w:t>其它能源品种的活动数据和排放因子数据</w:t>
            </w:r>
            <w:r>
              <w:rPr>
                <w:rFonts w:ascii="Times New Roman" w:hAnsi="Times New Roman"/>
                <w:color w:val="000000"/>
                <w:kern w:val="0"/>
                <w:sz w:val="18"/>
                <w:szCs w:val="18"/>
                <w:highlight w:val="none"/>
              </w:rPr>
              <w:t>存在一个以上不同来源，请自行分行一一列明。</w:t>
            </w:r>
          </w:p>
        </w:tc>
      </w:tr>
    </w:tbl>
    <w:p>
      <w:pPr>
        <w:pStyle w:val="56"/>
        <w:ind w:firstLine="420"/>
        <w:rPr>
          <w:rFonts w:ascii="Times New Roman"/>
          <w:highlight w:val="none"/>
        </w:rPr>
      </w:pPr>
    </w:p>
    <w:p>
      <w:pPr>
        <w:pStyle w:val="77"/>
        <w:spacing w:before="156" w:after="156"/>
        <w:rPr>
          <w:rFonts w:ascii="Times New Roman"/>
          <w:highlight w:val="none"/>
        </w:rPr>
      </w:pPr>
      <w:r>
        <w:rPr>
          <w:rFonts w:ascii="Times New Roman"/>
          <w:highlight w:val="none"/>
        </w:rPr>
        <w:t>购入和输出的电力对应的活动数据及排放因子数据一览表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4"/>
        <w:gridCol w:w="2628"/>
        <w:gridCol w:w="2630"/>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80"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项目</w:t>
            </w:r>
            <w:r>
              <w:rPr>
                <w:rFonts w:ascii="Times New Roman" w:hAnsi="Times New Roman"/>
                <w:kern w:val="0"/>
                <w:sz w:val="18"/>
                <w:szCs w:val="18"/>
                <w:highlight w:val="none"/>
                <w:vertAlign w:val="superscript"/>
              </w:rPr>
              <w:t>a</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电量（MWh）</w:t>
            </w: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排放因子（tCO</w:t>
            </w:r>
            <w:r>
              <w:rPr>
                <w:rFonts w:ascii="Times New Roman" w:hAnsi="Times New Roman"/>
                <w:b/>
                <w:color w:val="000000"/>
                <w:kern w:val="0"/>
                <w:sz w:val="18"/>
                <w:szCs w:val="18"/>
                <w:highlight w:val="none"/>
                <w:vertAlign w:val="subscript"/>
              </w:rPr>
              <w:t>2</w:t>
            </w:r>
            <w:r>
              <w:rPr>
                <w:rFonts w:ascii="Times New Roman" w:hAnsi="Times New Roman"/>
                <w:b/>
                <w:color w:val="000000"/>
                <w:kern w:val="0"/>
                <w:sz w:val="18"/>
                <w:szCs w:val="18"/>
                <w:highlight w:val="none"/>
              </w:rPr>
              <w:t>/MWh）</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bCs/>
                <w:kern w:val="0"/>
                <w:sz w:val="18"/>
                <w:szCs w:val="18"/>
                <w:highlight w:val="none"/>
              </w:rPr>
              <w:t>排放量（tCO</w:t>
            </w:r>
            <w:r>
              <w:rPr>
                <w:rFonts w:ascii="Times New Roman" w:hAnsi="Times New Roman"/>
                <w:b/>
                <w:bCs/>
                <w:kern w:val="0"/>
                <w:sz w:val="18"/>
                <w:szCs w:val="18"/>
                <w:highlight w:val="none"/>
                <w:vertAlign w:val="subscript"/>
              </w:rPr>
              <w:t>2</w:t>
            </w:r>
            <w:r>
              <w:rPr>
                <w:rFonts w:ascii="Times New Roman" w:hAnsi="Times New Roman"/>
                <w:b/>
                <w:bCs/>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80"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购入</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80"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输出</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rPr>
                <w:rFonts w:ascii="Times New Roman" w:hAnsi="Times New Roman"/>
                <w:color w:val="000000"/>
                <w:kern w:val="0"/>
                <w:sz w:val="18"/>
                <w:szCs w:val="18"/>
                <w:highlight w:val="none"/>
              </w:rPr>
            </w:pPr>
            <w:r>
              <w:rPr>
                <w:rFonts w:ascii="Times New Roman" w:hAnsi="Times New Roman"/>
                <w:kern w:val="0"/>
                <w:sz w:val="18"/>
                <w:szCs w:val="18"/>
                <w:highlight w:val="none"/>
                <w:vertAlign w:val="superscript"/>
              </w:rPr>
              <w:t>a</w:t>
            </w:r>
            <w:r>
              <w:rPr>
                <w:rFonts w:ascii="Times New Roman" w:hAnsi="Times New Roman"/>
                <w:color w:val="000000"/>
                <w:kern w:val="0"/>
                <w:sz w:val="18"/>
                <w:szCs w:val="18"/>
                <w:highlight w:val="none"/>
              </w:rPr>
              <w:t>若购入或输出的电力存在一个以上不同排放因子的电力来源，请自行分行一一列明。</w:t>
            </w:r>
          </w:p>
        </w:tc>
      </w:tr>
    </w:tbl>
    <w:p>
      <w:pPr>
        <w:pStyle w:val="56"/>
        <w:ind w:firstLine="420"/>
        <w:rPr>
          <w:rFonts w:ascii="Times New Roman"/>
          <w:highlight w:val="none"/>
        </w:rPr>
      </w:pPr>
    </w:p>
    <w:p>
      <w:pPr>
        <w:pStyle w:val="77"/>
        <w:spacing w:before="156" w:after="156"/>
        <w:rPr>
          <w:rFonts w:ascii="Times New Roman"/>
          <w:highlight w:val="none"/>
        </w:rPr>
      </w:pPr>
      <w:r>
        <w:rPr>
          <w:rFonts w:ascii="Times New Roman"/>
          <w:highlight w:val="none"/>
        </w:rPr>
        <w:t>购入和输出的热力对应的活动数据及排放因子数据一览表</w:t>
      </w:r>
    </w:p>
    <w:tbl>
      <w:tblPr>
        <w:tblStyle w:val="2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5"/>
        <w:gridCol w:w="2610"/>
        <w:gridCol w:w="2568"/>
        <w:gridCol w:w="2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3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项目</w:t>
            </w:r>
            <w:r>
              <w:rPr>
                <w:rFonts w:ascii="Times New Roman" w:hAnsi="Times New Roman"/>
                <w:kern w:val="0"/>
                <w:sz w:val="18"/>
                <w:szCs w:val="18"/>
                <w:highlight w:val="none"/>
                <w:vertAlign w:val="superscript"/>
              </w:rPr>
              <w:t>a</w:t>
            </w:r>
          </w:p>
        </w:tc>
        <w:tc>
          <w:tcPr>
            <w:tcW w:w="261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热量（GJ）</w:t>
            </w:r>
          </w:p>
        </w:tc>
        <w:tc>
          <w:tcPr>
            <w:tcW w:w="2568"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排放因子（tCO</w:t>
            </w:r>
            <w:r>
              <w:rPr>
                <w:rFonts w:ascii="Times New Roman" w:hAnsi="Times New Roman"/>
                <w:b/>
                <w:color w:val="000000"/>
                <w:kern w:val="0"/>
                <w:sz w:val="18"/>
                <w:szCs w:val="18"/>
                <w:highlight w:val="none"/>
                <w:vertAlign w:val="subscript"/>
              </w:rPr>
              <w:t>2</w:t>
            </w:r>
            <w:r>
              <w:rPr>
                <w:rFonts w:ascii="Times New Roman" w:hAnsi="Times New Roman"/>
                <w:b/>
                <w:color w:val="000000"/>
                <w:kern w:val="0"/>
                <w:sz w:val="18"/>
                <w:szCs w:val="18"/>
                <w:highlight w:val="none"/>
              </w:rPr>
              <w:t>/GJ）</w:t>
            </w:r>
          </w:p>
        </w:tc>
        <w:tc>
          <w:tcPr>
            <w:tcW w:w="264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排放量（</w:t>
            </w:r>
            <w:r>
              <w:rPr>
                <w:rFonts w:ascii="Times New Roman" w:hAnsi="Times New Roman"/>
                <w:b/>
                <w:bCs/>
                <w:kern w:val="0"/>
                <w:sz w:val="18"/>
                <w:szCs w:val="18"/>
                <w:highlight w:val="none"/>
              </w:rPr>
              <w:t>tCO</w:t>
            </w:r>
            <w:r>
              <w:rPr>
                <w:rFonts w:ascii="Times New Roman" w:hAnsi="Times New Roman"/>
                <w:b/>
                <w:bCs/>
                <w:kern w:val="0"/>
                <w:sz w:val="18"/>
                <w:szCs w:val="18"/>
                <w:highlight w:val="none"/>
                <w:vertAlign w:val="subscript"/>
              </w:rPr>
              <w:t>2</w:t>
            </w:r>
            <w:r>
              <w:rPr>
                <w:rFonts w:ascii="Times New Roman" w:hAnsi="Times New Roman"/>
                <w:b/>
                <w:color w:val="000000"/>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3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购入</w:t>
            </w:r>
          </w:p>
        </w:tc>
        <w:tc>
          <w:tcPr>
            <w:tcW w:w="261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2568"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264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3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输出</w:t>
            </w:r>
          </w:p>
        </w:tc>
        <w:tc>
          <w:tcPr>
            <w:tcW w:w="2610"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2568"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c>
          <w:tcPr>
            <w:tcW w:w="2645"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558" w:type="dxa"/>
            <w:gridSpan w:val="4"/>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rPr>
                <w:rFonts w:ascii="Times New Roman" w:hAnsi="Times New Roman"/>
                <w:color w:val="000000"/>
                <w:kern w:val="0"/>
                <w:sz w:val="18"/>
                <w:szCs w:val="18"/>
                <w:highlight w:val="none"/>
              </w:rPr>
            </w:pPr>
            <w:r>
              <w:rPr>
                <w:rFonts w:ascii="Times New Roman" w:hAnsi="Times New Roman"/>
                <w:kern w:val="0"/>
                <w:sz w:val="18"/>
                <w:szCs w:val="18"/>
                <w:highlight w:val="none"/>
                <w:vertAlign w:val="superscript"/>
              </w:rPr>
              <w:t>a</w:t>
            </w:r>
            <w:r>
              <w:rPr>
                <w:rFonts w:ascii="Times New Roman" w:hAnsi="Times New Roman"/>
                <w:color w:val="000000"/>
                <w:kern w:val="0"/>
                <w:sz w:val="18"/>
                <w:szCs w:val="18"/>
                <w:highlight w:val="none"/>
              </w:rPr>
              <w:t>若购入或输出的热力存在一个以上不同排放因子的热力来源，请自行分行一一列明。</w:t>
            </w:r>
          </w:p>
        </w:tc>
      </w:tr>
    </w:tbl>
    <w:p>
      <w:pPr>
        <w:pStyle w:val="56"/>
        <w:ind w:firstLine="420"/>
        <w:rPr>
          <w:rFonts w:ascii="Times New Roman"/>
          <w:highlight w:val="none"/>
        </w:rPr>
        <w:sectPr>
          <w:pgSz w:w="11906" w:h="16838"/>
          <w:pgMar w:top="2410" w:right="1134" w:bottom="1134" w:left="1134" w:header="1418" w:footer="1134" w:gutter="284"/>
          <w:cols w:space="425" w:num="1"/>
          <w:formProt w:val="0"/>
          <w:docGrid w:type="lines" w:linePitch="312" w:charSpace="0"/>
        </w:sectPr>
      </w:pPr>
    </w:p>
    <w:p>
      <w:pPr>
        <w:pStyle w:val="198"/>
        <w:rPr>
          <w:rFonts w:ascii="Times New Roman" w:hAnsi="Times New Roman"/>
          <w:vanish w:val="0"/>
          <w:highlight w:val="none"/>
        </w:rPr>
      </w:pPr>
    </w:p>
    <w:p>
      <w:pPr>
        <w:pStyle w:val="199"/>
        <w:rPr>
          <w:rFonts w:ascii="Times New Roman"/>
          <w:vanish w:val="0"/>
          <w:highlight w:val="none"/>
        </w:rPr>
      </w:pPr>
    </w:p>
    <w:p>
      <w:pPr>
        <w:pStyle w:val="76"/>
        <w:spacing w:before="78" w:after="156"/>
        <w:rPr>
          <w:rFonts w:ascii="Times New Roman"/>
          <w:highlight w:val="none"/>
        </w:rPr>
      </w:pPr>
      <w:bookmarkStart w:id="161" w:name="_Toc20265"/>
      <w:r>
        <w:rPr>
          <w:rFonts w:ascii="Times New Roman"/>
          <w:highlight w:val="none"/>
        </w:rPr>
        <w:br w:type="textWrapping"/>
      </w:r>
      <w:bookmarkStart w:id="162" w:name="_Toc128508379"/>
      <w:bookmarkStart w:id="163" w:name="_Toc128508311"/>
      <w:bookmarkStart w:id="164" w:name="_Toc128676570"/>
      <w:bookmarkStart w:id="165" w:name="_Toc128585868"/>
      <w:bookmarkStart w:id="166" w:name="_Toc128508463"/>
      <w:r>
        <w:rPr>
          <w:rFonts w:ascii="Times New Roman"/>
          <w:highlight w:val="none"/>
        </w:rPr>
        <w:t>（资料性）</w:t>
      </w:r>
      <w:r>
        <w:rPr>
          <w:rFonts w:ascii="Times New Roman"/>
          <w:highlight w:val="none"/>
        </w:rPr>
        <w:br w:type="textWrapping"/>
      </w:r>
      <w:r>
        <w:rPr>
          <w:rFonts w:ascii="Times New Roman"/>
          <w:highlight w:val="none"/>
        </w:rPr>
        <w:t>相关参数缺省值</w:t>
      </w:r>
      <w:bookmarkEnd w:id="161"/>
      <w:bookmarkEnd w:id="162"/>
      <w:bookmarkEnd w:id="163"/>
      <w:bookmarkEnd w:id="164"/>
      <w:bookmarkEnd w:id="165"/>
      <w:bookmarkEnd w:id="166"/>
    </w:p>
    <w:p>
      <w:pPr>
        <w:pStyle w:val="56"/>
        <w:ind w:firstLine="420"/>
        <w:rPr>
          <w:rFonts w:ascii="Times New Roman"/>
          <w:highlight w:val="none"/>
        </w:rPr>
      </w:pPr>
      <w:r>
        <w:rPr>
          <w:rFonts w:ascii="Times New Roman"/>
          <w:highlight w:val="none"/>
        </w:rPr>
        <w:t>常用化石燃料相关参数缺省值见表B.1。</w:t>
      </w:r>
    </w:p>
    <w:p>
      <w:pPr>
        <w:pStyle w:val="77"/>
        <w:spacing w:before="156" w:after="156"/>
        <w:rPr>
          <w:rFonts w:ascii="Times New Roman"/>
          <w:highlight w:val="none"/>
        </w:rPr>
      </w:pPr>
      <w:r>
        <w:rPr>
          <w:rFonts w:ascii="Times New Roman"/>
          <w:highlight w:val="none"/>
        </w:rPr>
        <w:t>常用化石燃料相关参数缺省值</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1888"/>
        <w:gridCol w:w="1172"/>
        <w:gridCol w:w="2218"/>
        <w:gridCol w:w="1691"/>
        <w:gridCol w:w="1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72" w:type="dxa"/>
            <w:gridSpan w:val="2"/>
            <w:shd w:val="clear" w:color="000000" w:fill="auto"/>
            <w:noWrap/>
            <w:vAlign w:val="center"/>
          </w:tcPr>
          <w:p>
            <w:pPr>
              <w:widowControl/>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燃料品种</w:t>
            </w:r>
          </w:p>
        </w:tc>
        <w:tc>
          <w:tcPr>
            <w:tcW w:w="1144" w:type="dxa"/>
            <w:shd w:val="clear" w:color="000000" w:fill="auto"/>
            <w:vAlign w:val="center"/>
          </w:tcPr>
          <w:p>
            <w:pPr>
              <w:widowControl/>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计量单位</w:t>
            </w:r>
          </w:p>
        </w:tc>
        <w:tc>
          <w:tcPr>
            <w:tcW w:w="2166" w:type="dxa"/>
            <w:shd w:val="clear" w:color="000000" w:fill="auto"/>
            <w:vAlign w:val="center"/>
          </w:tcPr>
          <w:p>
            <w:pPr>
              <w:widowControl/>
              <w:snapToGrid w:val="0"/>
              <w:spacing w:line="240" w:lineRule="auto"/>
              <w:jc w:val="center"/>
              <w:rPr>
                <w:rFonts w:ascii="Times New Roman" w:hAnsi="Times New Roman"/>
                <w:b/>
                <w:sz w:val="18"/>
                <w:szCs w:val="18"/>
                <w:highlight w:val="none"/>
              </w:rPr>
            </w:pPr>
            <w:r>
              <w:rPr>
                <w:rFonts w:ascii="Times New Roman" w:hAnsi="Times New Roman"/>
                <w:b/>
                <w:color w:val="000000"/>
                <w:kern w:val="0"/>
                <w:sz w:val="18"/>
                <w:szCs w:val="18"/>
                <w:highlight w:val="none"/>
              </w:rPr>
              <w:t>低位发热量</w:t>
            </w:r>
          </w:p>
          <w:p>
            <w:pPr>
              <w:widowControl/>
              <w:snapToGrid w:val="0"/>
              <w:spacing w:line="240" w:lineRule="auto"/>
              <w:jc w:val="center"/>
              <w:rPr>
                <w:rFonts w:ascii="Times New Roman" w:hAnsi="Times New Roman"/>
                <w:b/>
                <w:color w:val="000000"/>
                <w:kern w:val="0"/>
                <w:sz w:val="18"/>
                <w:szCs w:val="18"/>
                <w:highlight w:val="none"/>
              </w:rPr>
            </w:pPr>
            <w:r>
              <w:rPr>
                <w:rFonts w:ascii="Times New Roman" w:hAnsi="Times New Roman"/>
                <w:b/>
                <w:sz w:val="18"/>
                <w:szCs w:val="18"/>
                <w:highlight w:val="none"/>
              </w:rPr>
              <w:t>（GJ/t，GJ/×10</w:t>
            </w:r>
            <w:r>
              <w:rPr>
                <w:rFonts w:ascii="Times New Roman" w:hAnsi="Times New Roman"/>
                <w:b/>
                <w:sz w:val="18"/>
                <w:szCs w:val="18"/>
                <w:highlight w:val="none"/>
                <w:vertAlign w:val="superscript"/>
              </w:rPr>
              <w:t>4</w:t>
            </w:r>
            <w:r>
              <w:rPr>
                <w:rFonts w:ascii="Times New Roman" w:hAnsi="Times New Roman"/>
                <w:b/>
                <w:sz w:val="18"/>
                <w:szCs w:val="18"/>
                <w:highlight w:val="none"/>
              </w:rPr>
              <w:t>Nm</w:t>
            </w:r>
            <w:r>
              <w:rPr>
                <w:rFonts w:ascii="Times New Roman" w:hAnsi="Times New Roman"/>
                <w:b/>
                <w:sz w:val="18"/>
                <w:szCs w:val="18"/>
                <w:highlight w:val="none"/>
                <w:vertAlign w:val="superscript"/>
              </w:rPr>
              <w:t>3</w:t>
            </w:r>
            <w:r>
              <w:rPr>
                <w:rFonts w:ascii="Times New Roman" w:hAnsi="Times New Roman"/>
                <w:b/>
                <w:sz w:val="18"/>
                <w:szCs w:val="18"/>
                <w:highlight w:val="none"/>
              </w:rPr>
              <w:t>）</w:t>
            </w:r>
          </w:p>
        </w:tc>
        <w:tc>
          <w:tcPr>
            <w:tcW w:w="1651" w:type="dxa"/>
            <w:shd w:val="clear" w:color="000000" w:fill="auto"/>
            <w:vAlign w:val="center"/>
          </w:tcPr>
          <w:p>
            <w:pPr>
              <w:widowControl/>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单位热值含碳量</w:t>
            </w:r>
            <w:r>
              <w:rPr>
                <w:rFonts w:ascii="Times New Roman" w:hAnsi="Times New Roman"/>
                <w:b/>
                <w:sz w:val="18"/>
                <w:szCs w:val="18"/>
                <w:highlight w:val="none"/>
              </w:rPr>
              <w:t>（tC/GJ）</w:t>
            </w:r>
          </w:p>
        </w:tc>
        <w:tc>
          <w:tcPr>
            <w:tcW w:w="1407" w:type="dxa"/>
            <w:shd w:val="clear" w:color="000000" w:fill="auto"/>
            <w:noWrap/>
            <w:vAlign w:val="center"/>
          </w:tcPr>
          <w:p>
            <w:pPr>
              <w:widowControl/>
              <w:snapToGrid w:val="0"/>
              <w:spacing w:line="240" w:lineRule="auto"/>
              <w:jc w:val="center"/>
              <w:rPr>
                <w:rFonts w:ascii="Times New Roman" w:hAnsi="Times New Roman"/>
                <w:b/>
                <w:color w:val="000000"/>
                <w:kern w:val="0"/>
                <w:sz w:val="18"/>
                <w:szCs w:val="18"/>
                <w:highlight w:val="none"/>
              </w:rPr>
            </w:pPr>
            <w:r>
              <w:rPr>
                <w:rFonts w:ascii="Times New Roman" w:hAnsi="Times New Roman"/>
                <w:b/>
                <w:color w:val="000000"/>
                <w:kern w:val="0"/>
                <w:sz w:val="18"/>
                <w:szCs w:val="18"/>
                <w:highlight w:val="none"/>
              </w:rPr>
              <w:t>碳氧化率（%）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restart"/>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固体燃料</w:t>
            </w:r>
          </w:p>
        </w:tc>
        <w:tc>
          <w:tcPr>
            <w:tcW w:w="1843" w:type="dxa"/>
            <w:noWrap/>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无烟煤</w:t>
            </w:r>
          </w:p>
        </w:tc>
        <w:tc>
          <w:tcPr>
            <w:tcW w:w="1144" w:type="dxa"/>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26.7</w:t>
            </w:r>
            <w:r>
              <w:rPr>
                <w:rFonts w:ascii="Times New Roman" w:hAnsi="Times New Roman"/>
                <w:sz w:val="18"/>
                <w:szCs w:val="18"/>
                <w:highlight w:val="none"/>
                <w:vertAlign w:val="superscript"/>
              </w:rPr>
              <w:t>c</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27.4</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94</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一般烟煤</w:t>
            </w:r>
          </w:p>
        </w:tc>
        <w:tc>
          <w:tcPr>
            <w:tcW w:w="1144" w:type="dxa"/>
            <w:vAlign w:val="center"/>
          </w:tcPr>
          <w:p>
            <w:pPr>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19.570</w:t>
            </w:r>
            <w:r>
              <w:rPr>
                <w:rFonts w:ascii="Times New Roman" w:hAnsi="Times New Roman"/>
                <w:sz w:val="18"/>
                <w:szCs w:val="18"/>
                <w:highlight w:val="none"/>
                <w:vertAlign w:val="superscript"/>
              </w:rPr>
              <w:t>d</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26.1</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93</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烟煤</w:t>
            </w:r>
          </w:p>
        </w:tc>
        <w:tc>
          <w:tcPr>
            <w:tcW w:w="1144" w:type="dxa"/>
            <w:vAlign w:val="center"/>
          </w:tcPr>
          <w:p>
            <w:pPr>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23</w:t>
            </w:r>
            <w:r>
              <w:rPr>
                <w:rFonts w:ascii="Times New Roman" w:hAnsi="Times New Roman"/>
                <w:sz w:val="18"/>
                <w:szCs w:val="18"/>
                <w:highlight w:val="none"/>
                <w:vertAlign w:val="superscript"/>
              </w:rPr>
              <w:t>f</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26.1</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93</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褐煤</w:t>
            </w:r>
          </w:p>
        </w:tc>
        <w:tc>
          <w:tcPr>
            <w:tcW w:w="1144" w:type="dxa"/>
            <w:vAlign w:val="center"/>
          </w:tcPr>
          <w:p>
            <w:pPr>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11.9</w:t>
            </w:r>
            <w:r>
              <w:rPr>
                <w:rFonts w:ascii="Times New Roman" w:hAnsi="Times New Roman"/>
                <w:sz w:val="18"/>
                <w:szCs w:val="18"/>
                <w:highlight w:val="none"/>
                <w:vertAlign w:val="superscript"/>
              </w:rPr>
              <w:t xml:space="preserve"> c</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28</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96</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洗精煤</w:t>
            </w:r>
          </w:p>
        </w:tc>
        <w:tc>
          <w:tcPr>
            <w:tcW w:w="1144" w:type="dxa"/>
            <w:vAlign w:val="center"/>
          </w:tcPr>
          <w:p>
            <w:pPr>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26.334</w:t>
            </w:r>
            <w:r>
              <w:rPr>
                <w:rFonts w:ascii="Times New Roman" w:hAnsi="Times New Roman"/>
                <w:sz w:val="18"/>
                <w:szCs w:val="18"/>
                <w:highlight w:val="none"/>
                <w:vertAlign w:val="superscript"/>
              </w:rPr>
              <w:t>a</w:t>
            </w:r>
          </w:p>
        </w:tc>
        <w:tc>
          <w:tcPr>
            <w:tcW w:w="1651" w:type="dxa"/>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sz w:val="18"/>
                <w:szCs w:val="18"/>
                <w:highlight w:val="none"/>
              </w:rPr>
              <w:t>25.41</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90</w:t>
            </w:r>
            <w:r>
              <w:rPr>
                <w:rFonts w:ascii="Times New Roman" w:hAnsi="Times New Roman"/>
                <w:sz w:val="18"/>
                <w:szCs w:val="18"/>
                <w:highlight w:val="none"/>
                <w:vertAlign w:val="superscript"/>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其它洗煤</w:t>
            </w:r>
          </w:p>
        </w:tc>
        <w:tc>
          <w:tcPr>
            <w:tcW w:w="1144" w:type="dxa"/>
            <w:vAlign w:val="center"/>
          </w:tcPr>
          <w:p>
            <w:pPr>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12.545</w:t>
            </w:r>
            <w:r>
              <w:rPr>
                <w:rFonts w:ascii="Times New Roman" w:hAnsi="Times New Roman" w:cs="Times New Roman"/>
                <w:sz w:val="18"/>
                <w:szCs w:val="18"/>
                <w:highlight w:val="none"/>
                <w:vertAlign w:val="superscript"/>
              </w:rPr>
              <w:t xml:space="preserve"> a</w:t>
            </w:r>
          </w:p>
        </w:tc>
        <w:tc>
          <w:tcPr>
            <w:tcW w:w="1651" w:type="dxa"/>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sz w:val="18"/>
                <w:szCs w:val="18"/>
                <w:highlight w:val="none"/>
              </w:rPr>
              <w:t>25.41</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90</w:t>
            </w:r>
            <w:r>
              <w:rPr>
                <w:rFonts w:ascii="Times New Roman" w:hAnsi="Times New Roman"/>
                <w:sz w:val="18"/>
                <w:szCs w:val="18"/>
                <w:highlight w:val="none"/>
                <w:vertAlign w:val="superscript"/>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型煤</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17.460</w:t>
            </w:r>
            <w:r>
              <w:rPr>
                <w:rFonts w:ascii="Times New Roman" w:hAnsi="Times New Roman" w:cs="Times New Roman"/>
                <w:sz w:val="18"/>
                <w:szCs w:val="18"/>
                <w:highlight w:val="none"/>
                <w:vertAlign w:val="superscript"/>
              </w:rPr>
              <w:t xml:space="preserve"> d</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33.6</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90</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其他煤制品</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17.460</w:t>
            </w:r>
            <w:r>
              <w:rPr>
                <w:rFonts w:ascii="Times New Roman" w:hAnsi="Times New Roman" w:cs="Times New Roman"/>
                <w:sz w:val="18"/>
                <w:szCs w:val="18"/>
                <w:highlight w:val="none"/>
                <w:vertAlign w:val="superscript"/>
              </w:rPr>
              <w:t xml:space="preserve"> d</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33.6</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焦炭</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28.435</w:t>
            </w:r>
            <w:r>
              <w:rPr>
                <w:rFonts w:ascii="Times New Roman" w:hAnsi="Times New Roman"/>
                <w:sz w:val="18"/>
                <w:szCs w:val="18"/>
                <w:highlight w:val="none"/>
                <w:vertAlign w:val="superscript"/>
              </w:rPr>
              <w:t xml:space="preserve"> a</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29.5</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93</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石油焦</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32.5</w:t>
            </w:r>
            <w:r>
              <w:rPr>
                <w:rFonts w:ascii="Times New Roman" w:hAnsi="Times New Roman"/>
                <w:sz w:val="18"/>
                <w:szCs w:val="18"/>
                <w:highlight w:val="none"/>
                <w:vertAlign w:val="superscript"/>
              </w:rPr>
              <w:t xml:space="preserve"> c</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27.50</w:t>
            </w:r>
            <w:r>
              <w:rPr>
                <w:rFonts w:ascii="Times New Roman" w:hAnsi="Times New Roman"/>
                <w:color w:val="000000"/>
                <w:kern w:val="0"/>
                <w:sz w:val="18"/>
                <w:szCs w:val="18"/>
                <w:highlight w:val="none"/>
                <w:vertAlign w:val="superscript"/>
              </w:rPr>
              <w:t>b</w:t>
            </w:r>
            <w:r>
              <w:rPr>
                <w:rFonts w:ascii="Times New Roman" w:hAnsi="Times New Roman"/>
                <w:color w:val="000000"/>
                <w:kern w:val="0"/>
                <w:sz w:val="18"/>
                <w:szCs w:val="18"/>
                <w:highlight w:val="none"/>
              </w:rPr>
              <w:t>×10</w:t>
            </w:r>
            <w:r>
              <w:rPr>
                <w:rFonts w:ascii="Times New Roman" w:hAnsi="Times New Roman"/>
                <w:color w:val="000000"/>
                <w:kern w:val="0"/>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 xml:space="preserve">98 </w:t>
            </w:r>
            <w:r>
              <w:rPr>
                <w:rFonts w:ascii="Times New Roman" w:hAnsi="Times New Roman"/>
                <w:sz w:val="18"/>
                <w:szCs w:val="18"/>
                <w:highlight w:val="none"/>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restart"/>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液体燃料</w:t>
            </w: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原油</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41.816</w:t>
            </w:r>
            <w:r>
              <w:rPr>
                <w:rFonts w:ascii="Times New Roman" w:hAnsi="Times New Roman" w:cs="Times New Roman"/>
                <w:sz w:val="18"/>
                <w:szCs w:val="18"/>
                <w:highlight w:val="none"/>
                <w:vertAlign w:val="superscript"/>
              </w:rPr>
              <w:t xml:space="preserve"> a</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20.1</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燃料油</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41.816</w:t>
            </w:r>
            <w:r>
              <w:rPr>
                <w:rFonts w:ascii="Times New Roman" w:hAnsi="Times New Roman" w:cs="Times New Roman"/>
                <w:sz w:val="18"/>
                <w:szCs w:val="18"/>
                <w:highlight w:val="none"/>
                <w:vertAlign w:val="superscript"/>
              </w:rPr>
              <w:t xml:space="preserve"> a</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21.1</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汽油</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43.070</w:t>
            </w:r>
            <w:r>
              <w:rPr>
                <w:rFonts w:ascii="Times New Roman" w:hAnsi="Times New Roman" w:cs="Times New Roman"/>
                <w:sz w:val="18"/>
                <w:szCs w:val="18"/>
                <w:highlight w:val="none"/>
                <w:vertAlign w:val="superscript"/>
              </w:rPr>
              <w:t xml:space="preserve"> a</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18.9</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柴油</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42.652</w:t>
            </w:r>
            <w:r>
              <w:rPr>
                <w:rFonts w:ascii="Times New Roman" w:hAnsi="Times New Roman" w:cs="Times New Roman"/>
                <w:sz w:val="18"/>
                <w:szCs w:val="18"/>
                <w:highlight w:val="none"/>
                <w:vertAlign w:val="superscript"/>
              </w:rPr>
              <w:t xml:space="preserve"> a</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20.2</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一般煤油</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43.070</w:t>
            </w:r>
            <w:r>
              <w:rPr>
                <w:rFonts w:ascii="Times New Roman" w:hAnsi="Times New Roman"/>
                <w:sz w:val="18"/>
                <w:szCs w:val="18"/>
                <w:highlight w:val="none"/>
                <w:vertAlign w:val="superscript"/>
              </w:rPr>
              <w:t xml:space="preserve"> a</w:t>
            </w:r>
          </w:p>
        </w:tc>
        <w:tc>
          <w:tcPr>
            <w:tcW w:w="1651"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19.6</w:t>
            </w:r>
            <w:r>
              <w:rPr>
                <w:rFonts w:ascii="Times New Roman" w:hAnsi="Times New Roman" w:cs="Times New Roman"/>
                <w:sz w:val="18"/>
                <w:szCs w:val="18"/>
                <w:highlight w:val="none"/>
                <w:vertAlign w:val="superscript"/>
              </w:rPr>
              <w:t>b</w:t>
            </w:r>
            <w:r>
              <w:rPr>
                <w:rFonts w:ascii="Times New Roman" w:hAnsi="Times New Roman" w:cs="Times New Roman"/>
                <w:sz w:val="18"/>
                <w:szCs w:val="18"/>
                <w:highlight w:val="none"/>
              </w:rPr>
              <w:t>×10</w:t>
            </w:r>
            <w:r>
              <w:rPr>
                <w:rFonts w:ascii="Times New Roman" w:hAnsi="Times New Roman" w:cs="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液化天然气</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51.434</w:t>
            </w:r>
            <w:r>
              <w:rPr>
                <w:rFonts w:ascii="Times New Roman" w:hAnsi="Times New Roman" w:cs="Times New Roman"/>
                <w:sz w:val="18"/>
                <w:szCs w:val="18"/>
                <w:highlight w:val="none"/>
                <w:vertAlign w:val="superscript"/>
              </w:rPr>
              <w:t>e</w:t>
            </w:r>
          </w:p>
        </w:tc>
        <w:tc>
          <w:tcPr>
            <w:tcW w:w="1651"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15.3</w:t>
            </w:r>
            <w:r>
              <w:rPr>
                <w:rFonts w:ascii="Times New Roman" w:hAnsi="Times New Roman" w:cs="Times New Roman"/>
                <w:sz w:val="18"/>
                <w:szCs w:val="18"/>
                <w:highlight w:val="none"/>
                <w:vertAlign w:val="superscript"/>
              </w:rPr>
              <w:t>b</w:t>
            </w:r>
            <w:r>
              <w:rPr>
                <w:rFonts w:ascii="Times New Roman" w:hAnsi="Times New Roman" w:cs="Times New Roman"/>
                <w:sz w:val="18"/>
                <w:szCs w:val="18"/>
                <w:highlight w:val="none"/>
              </w:rPr>
              <w:t>×10</w:t>
            </w:r>
            <w:r>
              <w:rPr>
                <w:rFonts w:ascii="Times New Roman" w:hAnsi="Times New Roman" w:cs="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液化石油气</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50.179</w:t>
            </w:r>
            <w:r>
              <w:rPr>
                <w:rFonts w:ascii="Times New Roman" w:hAnsi="Times New Roman" w:cs="Times New Roman"/>
                <w:sz w:val="18"/>
                <w:szCs w:val="18"/>
                <w:highlight w:val="none"/>
                <w:vertAlign w:val="superscript"/>
              </w:rPr>
              <w:t xml:space="preserve"> a</w:t>
            </w:r>
          </w:p>
        </w:tc>
        <w:tc>
          <w:tcPr>
            <w:tcW w:w="1651"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17.2</w:t>
            </w:r>
            <w:r>
              <w:rPr>
                <w:rFonts w:ascii="Times New Roman" w:hAnsi="Times New Roman" w:cs="Times New Roman"/>
                <w:sz w:val="18"/>
                <w:szCs w:val="18"/>
                <w:highlight w:val="none"/>
                <w:vertAlign w:val="superscript"/>
              </w:rPr>
              <w:t>b</w:t>
            </w:r>
            <w:r>
              <w:rPr>
                <w:rFonts w:ascii="Times New Roman" w:hAnsi="Times New Roman" w:cs="Times New Roman"/>
                <w:sz w:val="18"/>
                <w:szCs w:val="18"/>
                <w:highlight w:val="none"/>
              </w:rPr>
              <w:t>×10</w:t>
            </w:r>
            <w:r>
              <w:rPr>
                <w:rFonts w:ascii="Times New Roman" w:hAnsi="Times New Roman" w:cs="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石脑油</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44.5</w:t>
            </w:r>
            <w:r>
              <w:rPr>
                <w:rFonts w:ascii="Times New Roman" w:hAnsi="Times New Roman"/>
                <w:sz w:val="18"/>
                <w:szCs w:val="18"/>
                <w:highlight w:val="none"/>
                <w:vertAlign w:val="superscript"/>
              </w:rPr>
              <w:t xml:space="preserve"> c</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20.0</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焦油</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33.453</w:t>
            </w:r>
            <w:r>
              <w:rPr>
                <w:rFonts w:ascii="Times New Roman" w:hAnsi="Times New Roman"/>
                <w:sz w:val="18"/>
                <w:szCs w:val="18"/>
                <w:highlight w:val="none"/>
                <w:vertAlign w:val="superscript"/>
              </w:rPr>
              <w:t>a</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22.0</w:t>
            </w:r>
            <w:r>
              <w:rPr>
                <w:rFonts w:ascii="Times New Roman" w:hAnsi="Times New Roman"/>
                <w:sz w:val="18"/>
                <w:szCs w:val="18"/>
                <w:highlight w:val="none"/>
                <w:vertAlign w:val="superscript"/>
              </w:rPr>
              <w:t>c</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粗苯</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41.816</w:t>
            </w:r>
            <w:r>
              <w:rPr>
                <w:rFonts w:ascii="Times New Roman" w:hAnsi="Times New Roman"/>
                <w:sz w:val="18"/>
                <w:szCs w:val="18"/>
                <w:highlight w:val="none"/>
                <w:vertAlign w:val="superscript"/>
              </w:rPr>
              <w:t xml:space="preserve"> a</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22.7</w:t>
            </w:r>
            <w:r>
              <w:rPr>
                <w:rFonts w:ascii="Times New Roman" w:hAnsi="Times New Roman"/>
                <w:sz w:val="18"/>
                <w:szCs w:val="18"/>
                <w:highlight w:val="none"/>
                <w:vertAlign w:val="superscript"/>
              </w:rPr>
              <w:t>d</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其它石油制品</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t</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40.2</w:t>
            </w:r>
            <w:r>
              <w:rPr>
                <w:rFonts w:ascii="Times New Roman" w:hAnsi="Times New Roman"/>
                <w:sz w:val="18"/>
                <w:szCs w:val="18"/>
                <w:highlight w:val="none"/>
                <w:vertAlign w:val="superscript"/>
              </w:rPr>
              <w:t xml:space="preserve"> c</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20.0</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98</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restart"/>
            <w:noWrap/>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气体燃料</w:t>
            </w: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天然气</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10</w:t>
            </w:r>
            <w:r>
              <w:rPr>
                <w:rFonts w:ascii="Times New Roman" w:hAnsi="Times New Roman"/>
                <w:sz w:val="18"/>
                <w:szCs w:val="18"/>
                <w:highlight w:val="none"/>
                <w:vertAlign w:val="superscript"/>
              </w:rPr>
              <w:t>4</w:t>
            </w:r>
            <w:r>
              <w:rPr>
                <w:rFonts w:ascii="Times New Roman" w:hAnsi="Times New Roman"/>
                <w:sz w:val="18"/>
                <w:szCs w:val="18"/>
                <w:highlight w:val="none"/>
              </w:rPr>
              <w:t>Nm</w:t>
            </w:r>
            <w:r>
              <w:rPr>
                <w:rFonts w:ascii="Times New Roman" w:hAnsi="Times New Roman"/>
                <w:sz w:val="18"/>
                <w:szCs w:val="18"/>
                <w:highlight w:val="none"/>
                <w:vertAlign w:val="superscript"/>
              </w:rPr>
              <w:t>3</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389.31</w:t>
            </w:r>
            <w:r>
              <w:rPr>
                <w:rFonts w:ascii="Times New Roman" w:hAnsi="Times New Roman"/>
                <w:sz w:val="18"/>
                <w:szCs w:val="18"/>
                <w:highlight w:val="none"/>
                <w:vertAlign w:val="superscript"/>
              </w:rPr>
              <w:t>a</w:t>
            </w:r>
          </w:p>
        </w:tc>
        <w:tc>
          <w:tcPr>
            <w:tcW w:w="1651"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15.3</w:t>
            </w:r>
            <w:r>
              <w:rPr>
                <w:rFonts w:ascii="Times New Roman" w:hAnsi="Times New Roman" w:cs="Times New Roman"/>
                <w:sz w:val="18"/>
                <w:szCs w:val="18"/>
                <w:highlight w:val="none"/>
                <w:vertAlign w:val="superscript"/>
              </w:rPr>
              <w:t>b</w:t>
            </w:r>
            <w:r>
              <w:rPr>
                <w:rFonts w:ascii="Times New Roman" w:hAnsi="Times New Roman" w:cs="Times New Roman"/>
                <w:sz w:val="18"/>
                <w:szCs w:val="18"/>
                <w:highlight w:val="none"/>
              </w:rPr>
              <w:t>×10</w:t>
            </w:r>
            <w:r>
              <w:rPr>
                <w:rFonts w:ascii="Times New Roman" w:hAnsi="Times New Roman" w:cs="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99</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noWrap/>
            <w:vAlign w:val="center"/>
          </w:tcPr>
          <w:p>
            <w:pPr>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高炉煤气</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10</w:t>
            </w:r>
            <w:r>
              <w:rPr>
                <w:rFonts w:ascii="Times New Roman" w:hAnsi="Times New Roman"/>
                <w:sz w:val="18"/>
                <w:szCs w:val="18"/>
                <w:highlight w:val="none"/>
                <w:vertAlign w:val="superscript"/>
              </w:rPr>
              <w:t>4</w:t>
            </w:r>
            <w:r>
              <w:rPr>
                <w:rFonts w:ascii="Times New Roman" w:hAnsi="Times New Roman"/>
                <w:sz w:val="18"/>
                <w:szCs w:val="18"/>
                <w:highlight w:val="none"/>
              </w:rPr>
              <w:t>Nm</w:t>
            </w:r>
            <w:r>
              <w:rPr>
                <w:rFonts w:ascii="Times New Roman" w:hAnsi="Times New Roman"/>
                <w:sz w:val="18"/>
                <w:szCs w:val="18"/>
                <w:highlight w:val="none"/>
                <w:vertAlign w:val="superscript"/>
              </w:rPr>
              <w:t>3</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33.00</w:t>
            </w:r>
            <w:r>
              <w:rPr>
                <w:rFonts w:ascii="Times New Roman" w:hAnsi="Times New Roman"/>
                <w:sz w:val="18"/>
                <w:szCs w:val="18"/>
                <w:highlight w:val="none"/>
                <w:vertAlign w:val="superscript"/>
              </w:rPr>
              <w:t xml:space="preserve"> d</w:t>
            </w:r>
          </w:p>
        </w:tc>
        <w:tc>
          <w:tcPr>
            <w:tcW w:w="1651"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70.80</w:t>
            </w:r>
            <w:r>
              <w:rPr>
                <w:rFonts w:ascii="Times New Roman" w:hAnsi="Times New Roman" w:cs="Times New Roman"/>
                <w:sz w:val="18"/>
                <w:szCs w:val="18"/>
                <w:highlight w:val="none"/>
                <w:vertAlign w:val="superscript"/>
              </w:rPr>
              <w:t>c</w:t>
            </w:r>
            <w:r>
              <w:rPr>
                <w:rFonts w:ascii="Times New Roman" w:hAnsi="Times New Roman" w:cs="Times New Roman"/>
                <w:sz w:val="18"/>
                <w:szCs w:val="18"/>
                <w:highlight w:val="none"/>
              </w:rPr>
              <w:t>×10</w:t>
            </w:r>
            <w:r>
              <w:rPr>
                <w:rFonts w:ascii="Times New Roman" w:hAnsi="Times New Roman" w:cs="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99</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noWrap/>
            <w:vAlign w:val="center"/>
          </w:tcPr>
          <w:p>
            <w:pPr>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转炉煤气</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10</w:t>
            </w:r>
            <w:r>
              <w:rPr>
                <w:rFonts w:ascii="Times New Roman" w:hAnsi="Times New Roman"/>
                <w:sz w:val="18"/>
                <w:szCs w:val="18"/>
                <w:highlight w:val="none"/>
                <w:vertAlign w:val="superscript"/>
              </w:rPr>
              <w:t>4</w:t>
            </w:r>
            <w:r>
              <w:rPr>
                <w:rFonts w:ascii="Times New Roman" w:hAnsi="Times New Roman"/>
                <w:sz w:val="18"/>
                <w:szCs w:val="18"/>
                <w:highlight w:val="none"/>
              </w:rPr>
              <w:t>Nm</w:t>
            </w:r>
            <w:r>
              <w:rPr>
                <w:rFonts w:ascii="Times New Roman" w:hAnsi="Times New Roman"/>
                <w:sz w:val="18"/>
                <w:szCs w:val="18"/>
                <w:highlight w:val="none"/>
                <w:vertAlign w:val="superscript"/>
              </w:rPr>
              <w:t>3</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84.00</w:t>
            </w:r>
            <w:r>
              <w:rPr>
                <w:rFonts w:ascii="Times New Roman" w:hAnsi="Times New Roman"/>
                <w:sz w:val="18"/>
                <w:szCs w:val="18"/>
                <w:highlight w:val="none"/>
                <w:vertAlign w:val="superscript"/>
              </w:rPr>
              <w:t xml:space="preserve"> d</w:t>
            </w:r>
          </w:p>
        </w:tc>
        <w:tc>
          <w:tcPr>
            <w:tcW w:w="1651"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49.60</w:t>
            </w:r>
            <w:r>
              <w:rPr>
                <w:rFonts w:ascii="Times New Roman" w:hAnsi="Times New Roman" w:cs="Times New Roman"/>
                <w:sz w:val="18"/>
                <w:szCs w:val="18"/>
                <w:highlight w:val="none"/>
                <w:vertAlign w:val="superscript"/>
              </w:rPr>
              <w:t>d</w:t>
            </w:r>
            <w:r>
              <w:rPr>
                <w:rFonts w:ascii="Times New Roman" w:hAnsi="Times New Roman" w:cs="Times New Roman"/>
                <w:sz w:val="18"/>
                <w:szCs w:val="18"/>
                <w:highlight w:val="none"/>
              </w:rPr>
              <w:t>×10</w:t>
            </w:r>
            <w:r>
              <w:rPr>
                <w:rFonts w:ascii="Times New Roman" w:hAnsi="Times New Roman" w:cs="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99</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noWrap/>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焦炉煤气</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10</w:t>
            </w:r>
            <w:r>
              <w:rPr>
                <w:rFonts w:ascii="Times New Roman" w:hAnsi="Times New Roman"/>
                <w:sz w:val="18"/>
                <w:szCs w:val="18"/>
                <w:highlight w:val="none"/>
                <w:vertAlign w:val="superscript"/>
              </w:rPr>
              <w:t>4</w:t>
            </w:r>
            <w:r>
              <w:rPr>
                <w:rFonts w:ascii="Times New Roman" w:hAnsi="Times New Roman"/>
                <w:sz w:val="18"/>
                <w:szCs w:val="18"/>
                <w:highlight w:val="none"/>
              </w:rPr>
              <w:t>Nm</w:t>
            </w:r>
            <w:r>
              <w:rPr>
                <w:rFonts w:ascii="Times New Roman" w:hAnsi="Times New Roman"/>
                <w:sz w:val="18"/>
                <w:szCs w:val="18"/>
                <w:highlight w:val="none"/>
                <w:vertAlign w:val="superscript"/>
              </w:rPr>
              <w:t>3</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179.81</w:t>
            </w:r>
            <w:r>
              <w:rPr>
                <w:rFonts w:ascii="Times New Roman" w:hAnsi="Times New Roman"/>
                <w:sz w:val="18"/>
                <w:szCs w:val="18"/>
                <w:highlight w:val="none"/>
                <w:vertAlign w:val="superscript"/>
              </w:rPr>
              <w:t xml:space="preserve"> a</w:t>
            </w:r>
          </w:p>
        </w:tc>
        <w:tc>
          <w:tcPr>
            <w:tcW w:w="1651"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13.58</w:t>
            </w:r>
            <w:r>
              <w:rPr>
                <w:rFonts w:ascii="Times New Roman" w:hAnsi="Times New Roman" w:cs="Times New Roman"/>
                <w:sz w:val="18"/>
                <w:szCs w:val="18"/>
                <w:highlight w:val="none"/>
                <w:vertAlign w:val="superscript"/>
              </w:rPr>
              <w:t>b</w:t>
            </w:r>
            <w:r>
              <w:rPr>
                <w:rFonts w:ascii="Times New Roman" w:hAnsi="Times New Roman" w:cs="Times New Roman"/>
                <w:sz w:val="18"/>
                <w:szCs w:val="18"/>
                <w:highlight w:val="none"/>
              </w:rPr>
              <w:t>×10</w:t>
            </w:r>
            <w:r>
              <w:rPr>
                <w:rFonts w:ascii="Times New Roman" w:hAnsi="Times New Roman" w:cs="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99</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noWrap/>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炼厂干气</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10</w:t>
            </w:r>
            <w:r>
              <w:rPr>
                <w:rFonts w:ascii="Times New Roman" w:hAnsi="Times New Roman"/>
                <w:sz w:val="18"/>
                <w:szCs w:val="18"/>
                <w:highlight w:val="none"/>
                <w:vertAlign w:val="superscript"/>
              </w:rPr>
              <w:t>4</w:t>
            </w:r>
            <w:r>
              <w:rPr>
                <w:rFonts w:ascii="Times New Roman" w:hAnsi="Times New Roman"/>
                <w:sz w:val="18"/>
                <w:szCs w:val="18"/>
                <w:highlight w:val="none"/>
              </w:rPr>
              <w:t>Nm</w:t>
            </w:r>
            <w:r>
              <w:rPr>
                <w:rFonts w:ascii="Times New Roman" w:hAnsi="Times New Roman"/>
                <w:sz w:val="18"/>
                <w:szCs w:val="18"/>
                <w:highlight w:val="none"/>
                <w:vertAlign w:val="superscript"/>
              </w:rPr>
              <w:t>3</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45.998</w:t>
            </w:r>
            <w:r>
              <w:rPr>
                <w:rFonts w:ascii="Times New Roman" w:hAnsi="Times New Roman"/>
                <w:sz w:val="18"/>
                <w:szCs w:val="18"/>
                <w:highlight w:val="none"/>
                <w:vertAlign w:val="superscript"/>
              </w:rPr>
              <w:t xml:space="preserve"> a</w:t>
            </w:r>
          </w:p>
        </w:tc>
        <w:tc>
          <w:tcPr>
            <w:tcW w:w="1651" w:type="dxa"/>
            <w:vAlign w:val="center"/>
          </w:tcPr>
          <w:p>
            <w:pPr>
              <w:pStyle w:val="228"/>
              <w:snapToGrid w:val="0"/>
              <w:jc w:val="center"/>
              <w:rPr>
                <w:rFonts w:ascii="Times New Roman" w:hAnsi="Times New Roman" w:cs="Times New Roman"/>
                <w:sz w:val="18"/>
                <w:szCs w:val="18"/>
                <w:highlight w:val="none"/>
              </w:rPr>
            </w:pPr>
            <w:r>
              <w:rPr>
                <w:rFonts w:ascii="Times New Roman" w:hAnsi="Times New Roman" w:cs="Times New Roman"/>
                <w:sz w:val="18"/>
                <w:szCs w:val="18"/>
                <w:highlight w:val="none"/>
              </w:rPr>
              <w:t>18.2</w:t>
            </w:r>
            <w:r>
              <w:rPr>
                <w:rFonts w:ascii="Times New Roman" w:hAnsi="Times New Roman" w:cs="Times New Roman"/>
                <w:sz w:val="18"/>
                <w:szCs w:val="18"/>
                <w:highlight w:val="none"/>
                <w:vertAlign w:val="superscript"/>
              </w:rPr>
              <w:t>b</w:t>
            </w:r>
            <w:r>
              <w:rPr>
                <w:rFonts w:ascii="Times New Roman" w:hAnsi="Times New Roman" w:cs="Times New Roman"/>
                <w:sz w:val="18"/>
                <w:szCs w:val="18"/>
                <w:highlight w:val="none"/>
              </w:rPr>
              <w:t>×10</w:t>
            </w:r>
            <w:r>
              <w:rPr>
                <w:rFonts w:ascii="Times New Roman" w:hAnsi="Times New Roman" w:cs="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99</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highlight w:val="none"/>
              </w:rPr>
            </w:pPr>
          </w:p>
        </w:tc>
        <w:tc>
          <w:tcPr>
            <w:tcW w:w="1843" w:type="dxa"/>
            <w:noWrap/>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其它煤气</w:t>
            </w:r>
          </w:p>
        </w:tc>
        <w:tc>
          <w:tcPr>
            <w:tcW w:w="1144" w:type="dxa"/>
            <w:vAlign w:val="center"/>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10</w:t>
            </w:r>
            <w:r>
              <w:rPr>
                <w:rFonts w:ascii="Times New Roman" w:hAnsi="Times New Roman"/>
                <w:sz w:val="18"/>
                <w:szCs w:val="18"/>
                <w:highlight w:val="none"/>
                <w:vertAlign w:val="superscript"/>
              </w:rPr>
              <w:t>4</w:t>
            </w:r>
            <w:r>
              <w:rPr>
                <w:rFonts w:ascii="Times New Roman" w:hAnsi="Times New Roman"/>
                <w:sz w:val="18"/>
                <w:szCs w:val="18"/>
                <w:highlight w:val="none"/>
              </w:rPr>
              <w:t>Nm</w:t>
            </w:r>
            <w:r>
              <w:rPr>
                <w:rFonts w:ascii="Times New Roman" w:hAnsi="Times New Roman"/>
                <w:sz w:val="18"/>
                <w:szCs w:val="18"/>
                <w:highlight w:val="none"/>
                <w:vertAlign w:val="superscript"/>
              </w:rPr>
              <w:t>3</w:t>
            </w:r>
          </w:p>
        </w:tc>
        <w:tc>
          <w:tcPr>
            <w:tcW w:w="2166"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52.270</w:t>
            </w:r>
            <w:r>
              <w:rPr>
                <w:rFonts w:ascii="Times New Roman" w:hAnsi="Times New Roman"/>
                <w:sz w:val="18"/>
                <w:szCs w:val="18"/>
                <w:highlight w:val="none"/>
                <w:vertAlign w:val="superscript"/>
              </w:rPr>
              <w:t xml:space="preserve"> a</w:t>
            </w:r>
          </w:p>
        </w:tc>
        <w:tc>
          <w:tcPr>
            <w:tcW w:w="1651"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12.2</w:t>
            </w:r>
            <w:r>
              <w:rPr>
                <w:rFonts w:ascii="Times New Roman" w:hAnsi="Times New Roman"/>
                <w:sz w:val="18"/>
                <w:szCs w:val="18"/>
                <w:highlight w:val="none"/>
                <w:vertAlign w:val="superscript"/>
              </w:rPr>
              <w:t>b</w:t>
            </w:r>
            <w:r>
              <w:rPr>
                <w:rFonts w:ascii="Times New Roman" w:hAnsi="Times New Roman"/>
                <w:sz w:val="18"/>
                <w:szCs w:val="18"/>
                <w:highlight w:val="none"/>
              </w:rPr>
              <w:t>×10</w:t>
            </w:r>
            <w:r>
              <w:rPr>
                <w:rFonts w:ascii="Times New Roman" w:hAnsi="Times New Roman"/>
                <w:sz w:val="18"/>
                <w:szCs w:val="18"/>
                <w:highlight w:val="none"/>
                <w:vertAlign w:val="superscript"/>
              </w:rPr>
              <w:t>-3</w:t>
            </w:r>
          </w:p>
        </w:tc>
        <w:tc>
          <w:tcPr>
            <w:tcW w:w="1407" w:type="dxa"/>
            <w:vAlign w:val="center"/>
          </w:tcPr>
          <w:p>
            <w:pPr>
              <w:widowControl/>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99</w:t>
            </w:r>
            <w:r>
              <w:rPr>
                <w:rFonts w:ascii="Times New Roman" w:hAnsi="Times New Roman"/>
                <w:sz w:val="18"/>
                <w:szCs w:val="18"/>
                <w:highlight w:val="none"/>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40" w:type="dxa"/>
            <w:gridSpan w:val="6"/>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vertAlign w:val="superscript"/>
              </w:rPr>
              <w:t>a</w:t>
            </w:r>
            <w:r>
              <w:rPr>
                <w:rFonts w:ascii="Times New Roman" w:hAnsi="Times New Roman"/>
                <w:sz w:val="18"/>
                <w:szCs w:val="18"/>
                <w:highlight w:val="none"/>
              </w:rPr>
              <w:t>数据取值来源为《中国能源统计年鉴2021》；</w:t>
            </w:r>
          </w:p>
          <w:p>
            <w:pPr>
              <w:snapToGrid w:val="0"/>
              <w:spacing w:line="240" w:lineRule="auto"/>
              <w:rPr>
                <w:rFonts w:ascii="Times New Roman" w:hAnsi="Times New Roman"/>
                <w:sz w:val="18"/>
                <w:szCs w:val="18"/>
                <w:highlight w:val="none"/>
              </w:rPr>
            </w:pPr>
            <w:r>
              <w:rPr>
                <w:rFonts w:ascii="Times New Roman" w:hAnsi="Times New Roman"/>
                <w:sz w:val="18"/>
                <w:szCs w:val="18"/>
                <w:highlight w:val="none"/>
                <w:vertAlign w:val="superscript"/>
              </w:rPr>
              <w:t>b</w:t>
            </w:r>
            <w:r>
              <w:rPr>
                <w:rFonts w:ascii="Times New Roman" w:hAnsi="Times New Roman"/>
                <w:sz w:val="18"/>
                <w:szCs w:val="18"/>
                <w:highlight w:val="none"/>
              </w:rPr>
              <w:t>数据取值来源为《省级温室气体清单指南（试行）》；</w:t>
            </w:r>
          </w:p>
          <w:p>
            <w:pPr>
              <w:snapToGrid w:val="0"/>
              <w:spacing w:line="240" w:lineRule="auto"/>
              <w:rPr>
                <w:rFonts w:ascii="Times New Roman" w:hAnsi="Times New Roman"/>
                <w:sz w:val="18"/>
                <w:szCs w:val="18"/>
                <w:highlight w:val="none"/>
              </w:rPr>
            </w:pPr>
            <w:r>
              <w:rPr>
                <w:rFonts w:ascii="Times New Roman" w:hAnsi="Times New Roman"/>
                <w:sz w:val="18"/>
                <w:szCs w:val="18"/>
                <w:highlight w:val="none"/>
                <w:vertAlign w:val="superscript"/>
              </w:rPr>
              <w:t>c</w:t>
            </w:r>
            <w:r>
              <w:rPr>
                <w:rFonts w:ascii="Times New Roman" w:hAnsi="Times New Roman"/>
                <w:sz w:val="18"/>
                <w:szCs w:val="18"/>
                <w:highlight w:val="none"/>
              </w:rPr>
              <w:t>数据取值来源为《2006年 IPCC 国家温室气体清单指南》及2019年修订版；</w:t>
            </w:r>
          </w:p>
          <w:p>
            <w:pPr>
              <w:snapToGrid w:val="0"/>
              <w:spacing w:line="240" w:lineRule="auto"/>
              <w:rPr>
                <w:rFonts w:ascii="Times New Roman" w:hAnsi="Times New Roman"/>
                <w:sz w:val="18"/>
                <w:szCs w:val="18"/>
                <w:highlight w:val="none"/>
              </w:rPr>
            </w:pPr>
            <w:r>
              <w:rPr>
                <w:rFonts w:ascii="Times New Roman" w:hAnsi="Times New Roman"/>
                <w:sz w:val="18"/>
                <w:szCs w:val="18"/>
                <w:highlight w:val="none"/>
                <w:vertAlign w:val="superscript"/>
              </w:rPr>
              <w:t>d</w:t>
            </w:r>
            <w:r>
              <w:rPr>
                <w:rFonts w:ascii="Times New Roman" w:hAnsi="Times New Roman"/>
                <w:sz w:val="18"/>
                <w:szCs w:val="18"/>
                <w:highlight w:val="none"/>
              </w:rPr>
              <w:t>数据取值来源为《中国温室气体清单研究》（2005）；</w:t>
            </w:r>
          </w:p>
          <w:p>
            <w:pPr>
              <w:snapToGrid w:val="0"/>
              <w:spacing w:line="240" w:lineRule="auto"/>
              <w:rPr>
                <w:rFonts w:ascii="Times New Roman" w:hAnsi="Times New Roman"/>
                <w:sz w:val="18"/>
                <w:szCs w:val="18"/>
                <w:highlight w:val="none"/>
              </w:rPr>
            </w:pPr>
            <w:r>
              <w:rPr>
                <w:rFonts w:ascii="Times New Roman" w:hAnsi="Times New Roman"/>
                <w:sz w:val="18"/>
                <w:szCs w:val="18"/>
                <w:highlight w:val="none"/>
                <w:vertAlign w:val="superscript"/>
              </w:rPr>
              <w:t>e</w:t>
            </w:r>
            <w:r>
              <w:rPr>
                <w:rFonts w:ascii="Times New Roman" w:hAnsi="Times New Roman"/>
                <w:sz w:val="18"/>
                <w:szCs w:val="18"/>
                <w:highlight w:val="none"/>
              </w:rPr>
              <w:t>数据取值来源为《能源统计报表制度》；</w:t>
            </w:r>
          </w:p>
          <w:p>
            <w:pPr>
              <w:snapToGrid w:val="0"/>
              <w:spacing w:line="240" w:lineRule="auto"/>
              <w:rPr>
                <w:rFonts w:ascii="Times New Roman" w:hAnsi="Times New Roman"/>
                <w:sz w:val="18"/>
                <w:szCs w:val="18"/>
                <w:highlight w:val="none"/>
              </w:rPr>
            </w:pPr>
            <w:r>
              <w:rPr>
                <w:rFonts w:ascii="Times New Roman" w:hAnsi="Times New Roman"/>
                <w:sz w:val="18"/>
                <w:szCs w:val="18"/>
                <w:highlight w:val="none"/>
                <w:vertAlign w:val="superscript"/>
              </w:rPr>
              <w:t>f</w:t>
            </w:r>
            <w:r>
              <w:rPr>
                <w:rFonts w:ascii="Times New Roman" w:hAnsi="Times New Roman"/>
                <w:sz w:val="18"/>
                <w:szCs w:val="18"/>
                <w:highlight w:val="none"/>
              </w:rPr>
              <w:t>数据取值来源为行业统计数据</w:t>
            </w:r>
          </w:p>
        </w:tc>
      </w:tr>
    </w:tbl>
    <w:p>
      <w:pPr>
        <w:pStyle w:val="56"/>
        <w:ind w:firstLine="420"/>
        <w:rPr>
          <w:highlight w:val="none"/>
        </w:rPr>
      </w:pPr>
    </w:p>
    <w:p>
      <w:pPr>
        <w:pStyle w:val="56"/>
        <w:ind w:firstLine="420"/>
        <w:rPr>
          <w:highlight w:val="none"/>
        </w:rPr>
        <w:sectPr>
          <w:pgSz w:w="11906" w:h="16838"/>
          <w:pgMar w:top="2410" w:right="1134" w:bottom="1134" w:left="1134" w:header="1418" w:footer="1134" w:gutter="284"/>
          <w:cols w:space="425" w:num="1"/>
          <w:formProt w:val="0"/>
          <w:docGrid w:type="lines" w:linePitch="312" w:charSpace="0"/>
        </w:sectPr>
      </w:pPr>
    </w:p>
    <w:p>
      <w:pPr>
        <w:pStyle w:val="198"/>
        <w:rPr>
          <w:vanish w:val="0"/>
          <w:highlight w:val="none"/>
        </w:rPr>
      </w:pPr>
    </w:p>
    <w:p>
      <w:pPr>
        <w:pStyle w:val="199"/>
        <w:rPr>
          <w:vanish w:val="0"/>
          <w:highlight w:val="none"/>
        </w:rPr>
      </w:pPr>
    </w:p>
    <w:p>
      <w:pPr>
        <w:pStyle w:val="76"/>
        <w:spacing w:before="78" w:after="156"/>
        <w:rPr>
          <w:rFonts w:ascii="Times New Roman"/>
          <w:highlight w:val="none"/>
        </w:rPr>
      </w:pPr>
      <w:bookmarkStart w:id="167" w:name="_Toc4716"/>
      <w:r>
        <w:rPr>
          <w:rFonts w:ascii="Times New Roman"/>
          <w:highlight w:val="none"/>
        </w:rPr>
        <w:br w:type="textWrapping"/>
      </w:r>
      <w:bookmarkStart w:id="168" w:name="_Toc128508312"/>
      <w:bookmarkStart w:id="169" w:name="_Toc128508464"/>
      <w:bookmarkStart w:id="170" w:name="_Toc128508380"/>
      <w:bookmarkStart w:id="171" w:name="_Toc128676571"/>
      <w:bookmarkStart w:id="172" w:name="_Toc128585869"/>
      <w:r>
        <w:rPr>
          <w:rFonts w:ascii="Times New Roman"/>
          <w:highlight w:val="none"/>
        </w:rPr>
        <w:t>（资料性）</w:t>
      </w:r>
      <w:r>
        <w:rPr>
          <w:rFonts w:ascii="Times New Roman"/>
          <w:highlight w:val="none"/>
        </w:rPr>
        <w:br w:type="textWrapping"/>
      </w:r>
      <w:r>
        <w:rPr>
          <w:rFonts w:ascii="Times New Roman"/>
          <w:highlight w:val="none"/>
        </w:rPr>
        <w:t>数据质量控制计划模板</w:t>
      </w:r>
      <w:bookmarkEnd w:id="167"/>
      <w:bookmarkEnd w:id="168"/>
      <w:bookmarkEnd w:id="169"/>
      <w:bookmarkEnd w:id="170"/>
      <w:bookmarkEnd w:id="171"/>
      <w:bookmarkEnd w:id="172"/>
    </w:p>
    <w:p>
      <w:pPr>
        <w:pStyle w:val="56"/>
        <w:spacing w:line="360" w:lineRule="auto"/>
        <w:ind w:firstLine="0" w:firstLineChars="0"/>
        <w:jc w:val="center"/>
        <w:rPr>
          <w:rFonts w:ascii="Times New Roman"/>
          <w:highlight w:val="none"/>
        </w:rPr>
      </w:pPr>
      <w:r>
        <w:rPr>
          <w:rFonts w:ascii="Times New Roman"/>
          <w:highlight w:val="none"/>
          <w:u w:val="single"/>
        </w:rPr>
        <w:t>****企业（或者其他经济组织）</w:t>
      </w:r>
      <w:r>
        <w:rPr>
          <w:rFonts w:ascii="Times New Roman"/>
          <w:highlight w:val="none"/>
        </w:rPr>
        <w:t>名称</w:t>
      </w:r>
    </w:p>
    <w:p>
      <w:pPr>
        <w:pStyle w:val="56"/>
        <w:spacing w:line="360" w:lineRule="auto"/>
        <w:ind w:firstLine="0" w:firstLineChars="0"/>
        <w:jc w:val="center"/>
        <w:rPr>
          <w:rFonts w:ascii="Times New Roman"/>
          <w:highlight w:val="none"/>
        </w:rPr>
      </w:pPr>
      <w:r>
        <w:rPr>
          <w:rFonts w:hint="eastAsia" w:ascii="Times New Roman"/>
          <w:highlight w:val="none"/>
        </w:rPr>
        <w:t>温室气体</w:t>
      </w:r>
      <w:r>
        <w:rPr>
          <w:rFonts w:ascii="Times New Roman"/>
          <w:highlight w:val="none"/>
        </w:rPr>
        <w:t>排放数据质量控制计划</w:t>
      </w:r>
    </w:p>
    <w:tbl>
      <w:tblPr>
        <w:tblStyle w:val="2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697"/>
        <w:gridCol w:w="2122"/>
        <w:gridCol w:w="2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4"/>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A 数据质量控制计划的版本及修订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版本号</w:t>
            </w: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制定（修订）时间</w:t>
            </w:r>
          </w:p>
        </w:tc>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制定（修订）原因</w:t>
            </w:r>
          </w:p>
        </w:tc>
        <w:tc>
          <w:tcPr>
            <w:tcW w:w="26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sz w:val="18"/>
                <w:szCs w:val="18"/>
                <w:highlight w:val="none"/>
              </w:rPr>
            </w:pP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p>
        </w:tc>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sz w:val="18"/>
                <w:szCs w:val="18"/>
                <w:highlight w:val="none"/>
              </w:rPr>
            </w:pPr>
          </w:p>
        </w:tc>
        <w:tc>
          <w:tcPr>
            <w:tcW w:w="26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sz w:val="18"/>
                <w:szCs w:val="18"/>
                <w:highlight w:val="none"/>
              </w:rPr>
            </w:pP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p>
        </w:tc>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sz w:val="18"/>
                <w:szCs w:val="18"/>
                <w:highlight w:val="none"/>
              </w:rPr>
            </w:pPr>
          </w:p>
        </w:tc>
        <w:tc>
          <w:tcPr>
            <w:tcW w:w="26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4"/>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B 报告主体描述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企业（或者其他经济组织）名称</w:t>
            </w:r>
          </w:p>
        </w:tc>
        <w:tc>
          <w:tcPr>
            <w:tcW w:w="7517"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地址</w:t>
            </w:r>
          </w:p>
        </w:tc>
        <w:tc>
          <w:tcPr>
            <w:tcW w:w="7517"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统一社会信用代码（组织机构代码）</w:t>
            </w: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p>
        </w:tc>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行业分类</w:t>
            </w:r>
          </w:p>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（按核算标准分类）</w:t>
            </w:r>
          </w:p>
        </w:tc>
        <w:tc>
          <w:tcPr>
            <w:tcW w:w="26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法定代表人</w:t>
            </w: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姓名：</w:t>
            </w:r>
          </w:p>
        </w:tc>
        <w:tc>
          <w:tcPr>
            <w:tcW w:w="482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数据质量控制计划制定人</w:t>
            </w: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姓名：</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电话：</w:t>
            </w:r>
          </w:p>
        </w:tc>
        <w:tc>
          <w:tcPr>
            <w:tcW w:w="269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报告主体简介</w:t>
            </w:r>
          </w:p>
          <w:p>
            <w:pPr>
              <w:widowControl/>
              <w:numPr>
                <w:ilvl w:val="0"/>
                <w:numId w:val="38"/>
              </w:numPr>
              <w:snapToGrid w:val="0"/>
              <w:spacing w:line="240" w:lineRule="auto"/>
              <w:ind w:left="0" w:firstLine="0"/>
              <w:rPr>
                <w:rFonts w:ascii="Times New Roman" w:hAnsi="Times New Roman"/>
                <w:kern w:val="0"/>
                <w:sz w:val="18"/>
                <w:szCs w:val="18"/>
                <w:highlight w:val="none"/>
              </w:rPr>
            </w:pPr>
            <w:r>
              <w:rPr>
                <w:rFonts w:ascii="Times New Roman" w:hAnsi="Times New Roman"/>
                <w:kern w:val="0"/>
                <w:sz w:val="18"/>
                <w:szCs w:val="18"/>
                <w:highlight w:val="none"/>
              </w:rPr>
              <w:t>单位简介</w:t>
            </w:r>
          </w:p>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（至少包括：成立时间、所有权状况、法定代表人、组织机构图和厂区平面分布图）</w:t>
            </w: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numPr>
                <w:ilvl w:val="0"/>
                <w:numId w:val="38"/>
              </w:numPr>
              <w:snapToGrid w:val="0"/>
              <w:spacing w:line="240" w:lineRule="auto"/>
              <w:ind w:left="0" w:firstLine="0"/>
              <w:rPr>
                <w:rFonts w:ascii="Times New Roman" w:hAnsi="Times New Roman"/>
                <w:kern w:val="0"/>
                <w:sz w:val="18"/>
                <w:szCs w:val="18"/>
                <w:highlight w:val="none"/>
              </w:rPr>
            </w:pPr>
            <w:r>
              <w:rPr>
                <w:rFonts w:ascii="Times New Roman" w:hAnsi="Times New Roman"/>
                <w:kern w:val="0"/>
                <w:sz w:val="18"/>
                <w:szCs w:val="18"/>
                <w:highlight w:val="none"/>
              </w:rPr>
              <w:t>主营产品</w:t>
            </w:r>
          </w:p>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（至少包括：主营产品的名称及产品代码）</w:t>
            </w: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numPr>
                <w:ilvl w:val="0"/>
                <w:numId w:val="38"/>
              </w:numPr>
              <w:snapToGrid w:val="0"/>
              <w:spacing w:line="240" w:lineRule="auto"/>
              <w:ind w:left="0" w:firstLine="0"/>
              <w:rPr>
                <w:rFonts w:ascii="Times New Roman" w:hAnsi="Times New Roman"/>
                <w:kern w:val="0"/>
                <w:sz w:val="18"/>
                <w:szCs w:val="18"/>
                <w:highlight w:val="none"/>
              </w:rPr>
            </w:pPr>
            <w:r>
              <w:rPr>
                <w:rFonts w:ascii="Times New Roman" w:hAnsi="Times New Roman"/>
                <w:kern w:val="0"/>
                <w:sz w:val="18"/>
                <w:szCs w:val="18"/>
                <w:highlight w:val="none"/>
              </w:rPr>
              <w:t>主营产品及生产工艺</w:t>
            </w:r>
          </w:p>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（至少包括：每种产品的生产工艺流程图及工艺流程描述，并在图中标明</w:t>
            </w:r>
            <w:r>
              <w:rPr>
                <w:rFonts w:hint="eastAsia" w:ascii="Times New Roman" w:hAnsi="Times New Roman"/>
                <w:kern w:val="0"/>
                <w:sz w:val="18"/>
                <w:szCs w:val="18"/>
                <w:highlight w:val="none"/>
              </w:rPr>
              <w:t>温室气体</w:t>
            </w:r>
            <w:r>
              <w:rPr>
                <w:rFonts w:ascii="Times New Roman" w:hAnsi="Times New Roman"/>
                <w:kern w:val="0"/>
                <w:sz w:val="18"/>
                <w:szCs w:val="18"/>
                <w:highlight w:val="none"/>
              </w:rPr>
              <w:t>排放设施，对于涉及化学反应的工艺需写明化学反应方程式）</w:t>
            </w: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tc>
      </w:tr>
    </w:tbl>
    <w:p>
      <w:pPr>
        <w:pStyle w:val="56"/>
        <w:ind w:firstLine="420"/>
        <w:rPr>
          <w:rFonts w:ascii="Times New Roman"/>
          <w:highlight w:val="none"/>
        </w:rPr>
      </w:pPr>
    </w:p>
    <w:p>
      <w:pPr>
        <w:tabs>
          <w:tab w:val="left" w:pos="1095"/>
        </w:tabs>
        <w:rPr>
          <w:rFonts w:ascii="Times New Roman" w:hAnsi="Times New Roman"/>
          <w:kern w:val="0"/>
          <w:szCs w:val="20"/>
          <w:highlight w:val="none"/>
        </w:rPr>
        <w:sectPr>
          <w:pgSz w:w="11906" w:h="16838"/>
          <w:pgMar w:top="2410" w:right="1134" w:bottom="1134" w:left="1134" w:header="1418" w:footer="1134" w:gutter="284"/>
          <w:cols w:space="425" w:num="1"/>
          <w:formProt w:val="0"/>
          <w:docGrid w:type="lines" w:linePitch="312" w:charSpace="0"/>
        </w:sectPr>
      </w:pPr>
      <w:r>
        <w:rPr>
          <w:rFonts w:ascii="Times New Roman" w:hAnsi="Times New Roman"/>
          <w:kern w:val="0"/>
          <w:szCs w:val="20"/>
          <w:highlight w:val="none"/>
        </w:rPr>
        <w:tab/>
      </w:r>
    </w:p>
    <w:tbl>
      <w:tblPr>
        <w:tblStyle w:val="26"/>
        <w:tblW w:w="14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528"/>
        <w:gridCol w:w="868"/>
        <w:gridCol w:w="1275"/>
        <w:gridCol w:w="112"/>
        <w:gridCol w:w="1593"/>
        <w:gridCol w:w="2548"/>
        <w:gridCol w:w="992"/>
        <w:gridCol w:w="992"/>
        <w:gridCol w:w="851"/>
        <w:gridCol w:w="992"/>
        <w:gridCol w:w="845"/>
        <w:gridCol w:w="6"/>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C 核算边界和主要排放设施描述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numPr>
                <w:ilvl w:val="0"/>
                <w:numId w:val="38"/>
              </w:numPr>
              <w:snapToGrid w:val="0"/>
              <w:spacing w:line="240" w:lineRule="auto"/>
              <w:ind w:left="0" w:firstLine="0"/>
              <w:rPr>
                <w:rFonts w:ascii="Times New Roman" w:hAnsi="Times New Roman"/>
                <w:kern w:val="0"/>
                <w:sz w:val="18"/>
                <w:szCs w:val="18"/>
                <w:highlight w:val="none"/>
              </w:rPr>
            </w:pPr>
            <w:r>
              <w:rPr>
                <w:rFonts w:ascii="Times New Roman" w:hAnsi="Times New Roman"/>
                <w:kern w:val="0"/>
                <w:sz w:val="18"/>
                <w:szCs w:val="18"/>
                <w:highlight w:val="none"/>
              </w:rPr>
              <w:t>法人边界的核算和报告范围描述</w:t>
            </w:r>
            <w:r>
              <w:rPr>
                <w:rFonts w:ascii="Times New Roman" w:hAnsi="Times New Roman"/>
                <w:kern w:val="0"/>
                <w:sz w:val="18"/>
                <w:szCs w:val="18"/>
                <w:highlight w:val="none"/>
                <w:vertAlign w:val="superscript"/>
              </w:rPr>
              <w:footnoteReference w:id="1"/>
            </w: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numPr>
                <w:ilvl w:val="0"/>
                <w:numId w:val="38"/>
              </w:numPr>
              <w:snapToGrid w:val="0"/>
              <w:spacing w:line="240" w:lineRule="auto"/>
              <w:ind w:left="0" w:firstLine="0"/>
              <w:rPr>
                <w:rFonts w:ascii="Times New Roman" w:hAnsi="Times New Roman"/>
                <w:kern w:val="0"/>
                <w:sz w:val="18"/>
                <w:szCs w:val="18"/>
                <w:highlight w:val="none"/>
              </w:rPr>
            </w:pPr>
            <w:r>
              <w:rPr>
                <w:rFonts w:ascii="Times New Roman" w:hAnsi="Times New Roman"/>
                <w:kern w:val="0"/>
                <w:sz w:val="18"/>
                <w:szCs w:val="18"/>
                <w:highlight w:val="none"/>
              </w:rPr>
              <w:t>主要排放设施</w:t>
            </w:r>
            <w:r>
              <w:rPr>
                <w:rFonts w:ascii="Times New Roman" w:hAnsi="Times New Roman"/>
                <w:kern w:val="0"/>
                <w:sz w:val="18"/>
                <w:szCs w:val="18"/>
                <w:highlight w:val="none"/>
                <w:vertAlign w:val="superscript"/>
              </w:rPr>
              <w:footnoteReference w:id="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sz w:val="18"/>
                <w:szCs w:val="18"/>
                <w:highlight w:val="none"/>
              </w:rPr>
            </w:pPr>
            <w:r>
              <w:rPr>
                <w:rFonts w:ascii="Times New Roman" w:hAnsi="Times New Roman"/>
                <w:sz w:val="18"/>
                <w:szCs w:val="18"/>
                <w:highlight w:val="none"/>
              </w:rPr>
              <w:t>5.1与</w:t>
            </w:r>
            <w:r>
              <w:rPr>
                <w:rFonts w:hint="eastAsia" w:ascii="Times New Roman" w:hAnsi="Times New Roman"/>
                <w:sz w:val="18"/>
                <w:szCs w:val="18"/>
                <w:highlight w:val="none"/>
              </w:rPr>
              <w:t>化石</w:t>
            </w:r>
            <w:r>
              <w:rPr>
                <w:rFonts w:ascii="Times New Roman" w:hAnsi="Times New Roman"/>
                <w:sz w:val="18"/>
                <w:szCs w:val="18"/>
                <w:highlight w:val="none"/>
              </w:rPr>
              <w:t>燃料燃烧排放相关的排放设施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编号</w:t>
            </w:r>
          </w:p>
        </w:tc>
        <w:tc>
          <w:tcPr>
            <w:tcW w:w="27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排放设施名称</w:t>
            </w:r>
          </w:p>
        </w:tc>
        <w:tc>
          <w:tcPr>
            <w:tcW w:w="414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排放设施安装位置</w:t>
            </w:r>
          </w:p>
        </w:tc>
        <w:tc>
          <w:tcPr>
            <w:tcW w:w="283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排放过程</w:t>
            </w:r>
            <w:r>
              <w:rPr>
                <w:rFonts w:ascii="Times New Roman" w:hAnsi="Times New Roman"/>
                <w:kern w:val="0"/>
                <w:sz w:val="18"/>
                <w:szCs w:val="18"/>
                <w:highlight w:val="none"/>
                <w:vertAlign w:val="superscript"/>
              </w:rPr>
              <w:footnoteReference w:id="3"/>
            </w: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是否纳入配额管控范围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p>
        </w:tc>
        <w:tc>
          <w:tcPr>
            <w:tcW w:w="27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414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p>
        </w:tc>
        <w:tc>
          <w:tcPr>
            <w:tcW w:w="27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414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5.2主要耗电</w:t>
            </w:r>
            <w:r>
              <w:rPr>
                <w:rFonts w:hint="eastAsia" w:ascii="Times New Roman" w:hAnsi="Times New Roman"/>
                <w:kern w:val="0"/>
                <w:sz w:val="18"/>
                <w:szCs w:val="18"/>
                <w:highlight w:val="none"/>
              </w:rPr>
              <w:t>/热</w:t>
            </w:r>
            <w:r>
              <w:rPr>
                <w:rFonts w:ascii="Times New Roman" w:hAnsi="Times New Roman"/>
                <w:kern w:val="0"/>
                <w:sz w:val="18"/>
                <w:szCs w:val="18"/>
                <w:highlight w:val="none"/>
              </w:rPr>
              <w:t>的设施</w:t>
            </w:r>
            <w:r>
              <w:rPr>
                <w:rFonts w:ascii="Times New Roman" w:hAnsi="Times New Roman"/>
                <w:kern w:val="0"/>
                <w:sz w:val="18"/>
                <w:szCs w:val="18"/>
                <w:highlight w:val="none"/>
                <w:vertAlign w:val="superscript"/>
              </w:rPr>
              <w:footnoteReference w:id="4"/>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编号</w:t>
            </w:r>
          </w:p>
        </w:tc>
        <w:tc>
          <w:tcPr>
            <w:tcW w:w="4376"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设施名称</w:t>
            </w:r>
          </w:p>
        </w:tc>
        <w:tc>
          <w:tcPr>
            <w:tcW w:w="53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设施安装位置</w:t>
            </w: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是否纳入配额管控范围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p>
        </w:tc>
        <w:tc>
          <w:tcPr>
            <w:tcW w:w="4376"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53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p>
        </w:tc>
        <w:tc>
          <w:tcPr>
            <w:tcW w:w="4376"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53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tcPr>
          <w:p>
            <w:pPr>
              <w:widowControl/>
              <w:snapToGrid w:val="0"/>
              <w:spacing w:line="240" w:lineRule="auto"/>
              <w:jc w:val="left"/>
              <w:rPr>
                <w:rFonts w:ascii="Times New Roman" w:hAnsi="Times New Roman"/>
                <w:kern w:val="0"/>
                <w:sz w:val="18"/>
                <w:szCs w:val="18"/>
                <w:highlight w:val="none"/>
              </w:rPr>
            </w:pPr>
            <w:r>
              <w:rPr>
                <w:rFonts w:ascii="Times New Roman" w:hAnsi="Times New Roman"/>
                <w:kern w:val="0"/>
                <w:sz w:val="18"/>
                <w:szCs w:val="18"/>
                <w:highlight w:val="none"/>
              </w:rPr>
              <w:br w:type="page"/>
            </w:r>
            <w:r>
              <w:rPr>
                <w:rFonts w:ascii="Times New Roman" w:hAnsi="Times New Roman"/>
                <w:kern w:val="0"/>
                <w:sz w:val="18"/>
                <w:szCs w:val="18"/>
                <w:highlight w:val="none"/>
              </w:rPr>
              <w:t>D活动数据和排放因子的确定方式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 xml:space="preserve">D-1 </w:t>
            </w:r>
            <w:r>
              <w:rPr>
                <w:rFonts w:hint="eastAsia" w:ascii="Times New Roman" w:hAnsi="Times New Roman"/>
                <w:sz w:val="18"/>
                <w:szCs w:val="18"/>
                <w:highlight w:val="none"/>
              </w:rPr>
              <w:t>化石</w:t>
            </w:r>
            <w:r>
              <w:rPr>
                <w:rFonts w:ascii="Times New Roman" w:hAnsi="Times New Roman"/>
                <w:sz w:val="18"/>
                <w:szCs w:val="18"/>
                <w:highlight w:val="none"/>
              </w:rPr>
              <w:t>燃料燃烧排放活动数据和排放因子的确定方式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燃料种类</w:t>
            </w:r>
          </w:p>
        </w:tc>
        <w:tc>
          <w:tcPr>
            <w:tcW w:w="868"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单位</w:t>
            </w:r>
          </w:p>
        </w:tc>
        <w:tc>
          <w:tcPr>
            <w:tcW w:w="5528" w:type="dxa"/>
            <w:gridSpan w:val="4"/>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数据的计算方法及获取方式</w:t>
            </w:r>
            <w:r>
              <w:rPr>
                <w:rFonts w:ascii="Times New Roman" w:hAnsi="Times New Roman"/>
                <w:kern w:val="0"/>
                <w:sz w:val="18"/>
                <w:szCs w:val="18"/>
                <w:highlight w:val="none"/>
                <w:vertAlign w:val="superscript"/>
              </w:rPr>
              <w:footnoteReference w:id="5"/>
            </w:r>
          </w:p>
          <w:p>
            <w:pPr>
              <w:snapToGrid w:val="0"/>
              <w:spacing w:line="240" w:lineRule="auto"/>
              <w:jc w:val="left"/>
              <w:rPr>
                <w:rFonts w:ascii="Times New Roman" w:hAnsi="Times New Roman"/>
                <w:sz w:val="18"/>
                <w:szCs w:val="18"/>
                <w:highlight w:val="none"/>
              </w:rPr>
            </w:pPr>
            <w:r>
              <w:rPr>
                <w:rFonts w:ascii="Times New Roman" w:hAnsi="Times New Roman"/>
                <w:sz w:val="18"/>
                <w:szCs w:val="18"/>
                <w:highlight w:val="none"/>
              </w:rPr>
              <w:t>选取以下获取方式：</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实测值（如是，请具体填报时，采用在表下加备注的方式写明具体方法和标准）；</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缺省值（如是，请填写具体数值）；</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相关方结算凭证（如是，请具体填报时，采用在表下加备注的方式填写如何确保供应商数据质量）；</w:t>
            </w:r>
          </w:p>
          <w:p>
            <w:pPr>
              <w:numPr>
                <w:ilvl w:val="0"/>
                <w:numId w:val="39"/>
              </w:numPr>
              <w:snapToGrid w:val="0"/>
              <w:spacing w:line="240" w:lineRule="auto"/>
              <w:ind w:left="0" w:firstLine="0"/>
              <w:jc w:val="left"/>
              <w:rPr>
                <w:rFonts w:ascii="Times New Roman" w:hAnsi="Times New Roman"/>
                <w:i/>
                <w:sz w:val="18"/>
                <w:szCs w:val="18"/>
                <w:highlight w:val="none"/>
              </w:rPr>
            </w:pPr>
            <w:r>
              <w:rPr>
                <w:rFonts w:ascii="Times New Roman" w:hAnsi="Times New Roman"/>
                <w:sz w:val="18"/>
                <w:szCs w:val="18"/>
                <w:highlight w:val="none"/>
              </w:rPr>
              <w:t>其他方式（如是，请具体填报时，采用在表下加备注的方式详细描述）。</w:t>
            </w:r>
          </w:p>
        </w:tc>
        <w:tc>
          <w:tcPr>
            <w:tcW w:w="4678" w:type="dxa"/>
            <w:gridSpan w:val="6"/>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测量设备（适用于数据获取方式来源于实测值）</w:t>
            </w:r>
          </w:p>
        </w:tc>
        <w:tc>
          <w:tcPr>
            <w:tcW w:w="708"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数据记录频次</w:t>
            </w:r>
          </w:p>
        </w:tc>
        <w:tc>
          <w:tcPr>
            <w:tcW w:w="709"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数据缺失时的处理方式</w:t>
            </w:r>
          </w:p>
        </w:tc>
        <w:tc>
          <w:tcPr>
            <w:tcW w:w="709" w:type="dxa"/>
            <w:vMerge w:val="restart"/>
            <w:tcBorders>
              <w:top w:val="single" w:color="auto" w:sz="4" w:space="0"/>
              <w:left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jc w:val="left"/>
              <w:rPr>
                <w:rFonts w:ascii="Times New Roman" w:hAnsi="Times New Roman"/>
                <w:sz w:val="18"/>
                <w:szCs w:val="18"/>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jc w:val="left"/>
              <w:rPr>
                <w:rFonts w:ascii="Times New Roman" w:hAnsi="Times New Roman"/>
                <w:sz w:val="18"/>
                <w:szCs w:val="18"/>
                <w:highlight w:val="none"/>
              </w:rPr>
            </w:pPr>
          </w:p>
        </w:tc>
        <w:tc>
          <w:tcPr>
            <w:tcW w:w="5528"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jc w:val="left"/>
              <w:rPr>
                <w:rFonts w:ascii="Times New Roman" w:hAnsi="Times New Roman"/>
                <w:i/>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监测设备及型号</w:t>
            </w: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监测设备安装位置</w:t>
            </w:r>
          </w:p>
        </w:tc>
        <w:tc>
          <w:tcPr>
            <w:tcW w:w="851"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w:t>
            </w:r>
          </w:p>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频次</w:t>
            </w: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监测设备</w:t>
            </w:r>
          </w:p>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精度</w:t>
            </w:r>
          </w:p>
        </w:tc>
        <w:tc>
          <w:tcPr>
            <w:tcW w:w="851" w:type="dxa"/>
            <w:gridSpan w:val="2"/>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规定的</w:t>
            </w:r>
          </w:p>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监测设备</w:t>
            </w:r>
          </w:p>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校准频次</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jc w:val="left"/>
              <w:rPr>
                <w:rFonts w:ascii="Times New Roman" w:hAnsi="Times New Roman"/>
                <w:sz w:val="18"/>
                <w:szCs w:val="18"/>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jc w:val="left"/>
              <w:rPr>
                <w:rFonts w:ascii="Times New Roman" w:hAnsi="Times New Roman"/>
                <w:sz w:val="18"/>
                <w:szCs w:val="18"/>
                <w:highlight w:val="none"/>
              </w:rPr>
            </w:pPr>
          </w:p>
        </w:tc>
        <w:tc>
          <w:tcPr>
            <w:tcW w:w="709" w:type="dxa"/>
            <w:vMerge w:val="continue"/>
            <w:tcBorders>
              <w:left w:val="single" w:color="auto" w:sz="4" w:space="0"/>
              <w:bottom w:val="single" w:color="auto" w:sz="4" w:space="0"/>
              <w:right w:val="single" w:color="auto" w:sz="4" w:space="0"/>
            </w:tcBorders>
          </w:tcPr>
          <w:p>
            <w:pPr>
              <w:widowControl/>
              <w:snapToGrid w:val="0"/>
              <w:spacing w:line="240" w:lineRule="auto"/>
              <w:jc w:val="left"/>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rPr>
                <w:rFonts w:ascii="Times New Roman" w:hAnsi="Times New Roman"/>
                <w:sz w:val="18"/>
                <w:szCs w:val="18"/>
                <w:highlight w:val="none"/>
              </w:rPr>
            </w:pPr>
            <w:r>
              <w:rPr>
                <w:rFonts w:hint="eastAsia" w:ascii="Times New Roman" w:hAnsi="Times New Roman"/>
                <w:sz w:val="18"/>
                <w:szCs w:val="18"/>
                <w:highlight w:val="none"/>
              </w:rPr>
              <w:t>化石</w:t>
            </w:r>
            <w:r>
              <w:rPr>
                <w:rFonts w:ascii="Times New Roman" w:hAnsi="Times New Roman"/>
                <w:sz w:val="18"/>
                <w:szCs w:val="18"/>
                <w:highlight w:val="none"/>
              </w:rPr>
              <w:t>燃料种类A</w:t>
            </w:r>
            <w:r>
              <w:rPr>
                <w:rFonts w:ascii="Times New Roman" w:hAnsi="Times New Roman"/>
                <w:sz w:val="18"/>
                <w:szCs w:val="18"/>
                <w:highlight w:val="none"/>
                <w:vertAlign w:val="superscript"/>
              </w:rPr>
              <w:footnoteReference w:i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消耗量</w:t>
            </w:r>
          </w:p>
        </w:tc>
        <w:tc>
          <w:tcPr>
            <w:tcW w:w="86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5528" w:type="dxa"/>
            <w:gridSpan w:val="4"/>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gridSpan w:val="2"/>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低位发热值</w:t>
            </w:r>
          </w:p>
        </w:tc>
        <w:tc>
          <w:tcPr>
            <w:tcW w:w="86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5528" w:type="dxa"/>
            <w:gridSpan w:val="4"/>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gridSpan w:val="2"/>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rPr>
                <w:rFonts w:ascii="Times New Roman" w:hAnsi="Times New Roman"/>
                <w:i/>
                <w:iCs/>
                <w:color w:val="4F81BD"/>
                <w:spacing w:val="15"/>
                <w:kern w:val="0"/>
                <w:sz w:val="18"/>
                <w:szCs w:val="18"/>
                <w:highlight w:val="none"/>
              </w:rPr>
            </w:pPr>
            <w:r>
              <w:rPr>
                <w:rFonts w:ascii="Times New Roman" w:hAnsi="Times New Roman"/>
                <w:kern w:val="0"/>
                <w:sz w:val="18"/>
                <w:szCs w:val="18"/>
                <w:highlight w:val="none"/>
              </w:rPr>
              <w:t>单位热值含碳量</w:t>
            </w:r>
          </w:p>
        </w:tc>
        <w:tc>
          <w:tcPr>
            <w:tcW w:w="86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5528" w:type="dxa"/>
            <w:gridSpan w:val="4"/>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gridSpan w:val="2"/>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碳氧化率</w:t>
            </w:r>
          </w:p>
        </w:tc>
        <w:tc>
          <w:tcPr>
            <w:tcW w:w="86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w:t>
            </w:r>
          </w:p>
        </w:tc>
        <w:tc>
          <w:tcPr>
            <w:tcW w:w="5528" w:type="dxa"/>
            <w:gridSpan w:val="4"/>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gridSpan w:val="2"/>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rPr>
                <w:rFonts w:ascii="Times New Roman" w:hAnsi="Times New Roman"/>
                <w:sz w:val="18"/>
                <w:szCs w:val="18"/>
                <w:highlight w:val="none"/>
              </w:rPr>
            </w:pPr>
            <w:r>
              <w:rPr>
                <w:rFonts w:hint="eastAsia" w:ascii="Times New Roman" w:hAnsi="Times New Roman"/>
                <w:sz w:val="18"/>
                <w:szCs w:val="18"/>
                <w:highlight w:val="none"/>
              </w:rPr>
              <w:t>化石</w:t>
            </w:r>
            <w:r>
              <w:rPr>
                <w:rFonts w:ascii="Times New Roman" w:hAnsi="Times New Roman"/>
                <w:sz w:val="18"/>
                <w:szCs w:val="18"/>
                <w:highlight w:val="none"/>
              </w:rPr>
              <w:t>燃料种类B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rPr>
                <w:rFonts w:ascii="宋体" w:hAnsi="宋体"/>
                <w:kern w:val="0"/>
                <w:sz w:val="18"/>
                <w:szCs w:val="18"/>
                <w:highlight w:val="none"/>
              </w:rPr>
            </w:pPr>
            <w:r>
              <w:rPr>
                <w:rFonts w:ascii="宋体" w:hAnsi="宋体"/>
                <w:kern w:val="0"/>
                <w:sz w:val="18"/>
                <w:szCs w:val="18"/>
                <w:highlight w:val="none"/>
              </w:rPr>
              <w:t>……</w:t>
            </w:r>
          </w:p>
        </w:tc>
        <w:tc>
          <w:tcPr>
            <w:tcW w:w="86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5528" w:type="dxa"/>
            <w:gridSpan w:val="4"/>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851" w:type="dxa"/>
            <w:gridSpan w:val="2"/>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8"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b/>
                <w:bCs/>
                <w:color w:val="4F81BD"/>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D-2 购入和输出电力活动数据和排放因子的确定方式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过程参数</w:t>
            </w:r>
          </w:p>
        </w:tc>
        <w:tc>
          <w:tcPr>
            <w:tcW w:w="1275"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单位</w:t>
            </w:r>
          </w:p>
        </w:tc>
        <w:tc>
          <w:tcPr>
            <w:tcW w:w="4253" w:type="dxa"/>
            <w:gridSpan w:val="3"/>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数据的计算方法及获取方式</w:t>
            </w:r>
          </w:p>
          <w:p>
            <w:pPr>
              <w:snapToGrid w:val="0"/>
              <w:spacing w:line="240" w:lineRule="auto"/>
              <w:jc w:val="left"/>
              <w:rPr>
                <w:rFonts w:ascii="Times New Roman" w:hAnsi="Times New Roman"/>
                <w:sz w:val="18"/>
                <w:szCs w:val="18"/>
                <w:highlight w:val="none"/>
              </w:rPr>
            </w:pPr>
            <w:r>
              <w:rPr>
                <w:rFonts w:ascii="Times New Roman" w:hAnsi="Times New Roman"/>
                <w:sz w:val="18"/>
                <w:szCs w:val="18"/>
                <w:highlight w:val="none"/>
              </w:rPr>
              <w:t>选取以下获取方式：</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实测值（如是，请具体填报时，采用在表下加备注的方式写明具体方法和标准）；</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缺省值（如是，请填写具体数值）；</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相关方结算凭证（如是，请具体填报时，采用在表下加备注的方式填写如何确保供应商数据质量）；</w:t>
            </w:r>
          </w:p>
          <w:p>
            <w:pPr>
              <w:numPr>
                <w:ilvl w:val="0"/>
                <w:numId w:val="39"/>
              </w:numPr>
              <w:snapToGrid w:val="0"/>
              <w:spacing w:line="240" w:lineRule="auto"/>
              <w:ind w:left="0" w:firstLine="0"/>
              <w:rPr>
                <w:rFonts w:ascii="Times New Roman" w:hAnsi="Times New Roman"/>
                <w:sz w:val="18"/>
                <w:szCs w:val="18"/>
                <w:highlight w:val="none"/>
              </w:rPr>
            </w:pPr>
            <w:r>
              <w:rPr>
                <w:rFonts w:ascii="Times New Roman" w:hAnsi="Times New Roman"/>
                <w:sz w:val="18"/>
                <w:szCs w:val="18"/>
                <w:highlight w:val="none"/>
              </w:rPr>
              <w:t>其他方式（如是，请具体填报时，采用在表下加备注的方式详细描述）。</w:t>
            </w:r>
          </w:p>
        </w:tc>
        <w:tc>
          <w:tcPr>
            <w:tcW w:w="4672"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测量设备（适用于数据获取方式来源于实测值）</w:t>
            </w:r>
          </w:p>
        </w:tc>
        <w:tc>
          <w:tcPr>
            <w:tcW w:w="714" w:type="dxa"/>
            <w:gridSpan w:val="2"/>
            <w:vMerge w:val="restart"/>
            <w:tcBorders>
              <w:top w:val="single" w:color="auto" w:sz="4" w:space="0"/>
              <w:left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数据记录频次</w:t>
            </w:r>
          </w:p>
        </w:tc>
        <w:tc>
          <w:tcPr>
            <w:tcW w:w="709"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数据缺失时的处理方式</w:t>
            </w:r>
          </w:p>
        </w:tc>
        <w:tc>
          <w:tcPr>
            <w:tcW w:w="709"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c>
          <w:tcPr>
            <w:tcW w:w="425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监测设备及型号</w:t>
            </w: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监测设备安装位置</w:t>
            </w:r>
          </w:p>
        </w:tc>
        <w:tc>
          <w:tcPr>
            <w:tcW w:w="851"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监测频次</w:t>
            </w: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监测设备精度</w:t>
            </w:r>
          </w:p>
        </w:tc>
        <w:tc>
          <w:tcPr>
            <w:tcW w:w="845"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规定的监测设备校准频次</w:t>
            </w:r>
          </w:p>
        </w:tc>
        <w:tc>
          <w:tcPr>
            <w:tcW w:w="714" w:type="dxa"/>
            <w:gridSpan w:val="2"/>
            <w:vMerge w:val="continue"/>
            <w:tcBorders>
              <w:left w:val="single" w:color="auto" w:sz="4" w:space="0"/>
              <w:bottom w:val="single" w:color="auto" w:sz="4" w:space="0"/>
              <w:right w:val="single" w:color="auto" w:sz="4" w:space="0"/>
            </w:tcBorders>
          </w:tcPr>
          <w:p>
            <w:pPr>
              <w:widowControl/>
              <w:snapToGrid w:val="0"/>
              <w:spacing w:line="240" w:lineRule="auto"/>
              <w:rPr>
                <w:rFonts w:ascii="Times New Roman" w:hAnsi="Times New Roman"/>
                <w:sz w:val="18"/>
                <w:szCs w:val="18"/>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hint="eastAsia" w:ascii="Times New Roman" w:hAnsi="Times New Roman"/>
                <w:kern w:val="0"/>
                <w:sz w:val="18"/>
                <w:szCs w:val="18"/>
                <w:highlight w:val="none"/>
              </w:rPr>
              <w:t>净购入使用的电量</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hint="eastAsia" w:ascii="Times New Roman" w:hAnsi="Times New Roman"/>
                <w:kern w:val="0"/>
                <w:sz w:val="18"/>
                <w:szCs w:val="18"/>
                <w:highlight w:val="none"/>
              </w:rPr>
              <w:t>购入的总电量</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hint="eastAsia" w:ascii="Times New Roman" w:hAnsi="Times New Roman"/>
                <w:kern w:val="0"/>
                <w:sz w:val="18"/>
                <w:szCs w:val="18"/>
                <w:highlight w:val="none"/>
              </w:rPr>
              <w:t>转供输出的总电量</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hint="eastAsia" w:ascii="Times New Roman" w:hAnsi="Times New Roman"/>
                <w:kern w:val="0"/>
                <w:sz w:val="18"/>
                <w:szCs w:val="18"/>
                <w:highlight w:val="none"/>
              </w:rPr>
              <w:t>通过市场化交易购入使用的非化石能源电力消费量</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hint="eastAsia" w:ascii="Times New Roman" w:hAnsi="Times New Roman"/>
                <w:kern w:val="0"/>
                <w:sz w:val="18"/>
                <w:szCs w:val="18"/>
                <w:highlight w:val="none"/>
              </w:rPr>
              <w:t>转供输出的总电量中包括通过市场化交易购入使用的非化石能源电力消费量</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电力排放因子</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tCO</w:t>
            </w:r>
            <w:r>
              <w:rPr>
                <w:rFonts w:ascii="Times New Roman" w:hAnsi="Times New Roman"/>
                <w:sz w:val="18"/>
                <w:szCs w:val="18"/>
                <w:highlight w:val="none"/>
                <w:vertAlign w:val="subscript"/>
              </w:rPr>
              <w:t>2</w:t>
            </w:r>
            <w:r>
              <w:rPr>
                <w:rFonts w:ascii="Times New Roman" w:hAnsi="Times New Roman"/>
                <w:sz w:val="18"/>
                <w:szCs w:val="18"/>
                <w:highlight w:val="none"/>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D-3 购入和输出热力活动数据和排放因子的确定方式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过程参数</w:t>
            </w:r>
          </w:p>
        </w:tc>
        <w:tc>
          <w:tcPr>
            <w:tcW w:w="1275"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单位</w:t>
            </w:r>
          </w:p>
        </w:tc>
        <w:tc>
          <w:tcPr>
            <w:tcW w:w="4253" w:type="dxa"/>
            <w:gridSpan w:val="3"/>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数据的计算方法及获取方式</w:t>
            </w:r>
          </w:p>
          <w:p>
            <w:pPr>
              <w:snapToGrid w:val="0"/>
              <w:spacing w:line="240" w:lineRule="auto"/>
              <w:jc w:val="left"/>
              <w:rPr>
                <w:rFonts w:ascii="Times New Roman" w:hAnsi="Times New Roman"/>
                <w:sz w:val="18"/>
                <w:szCs w:val="18"/>
                <w:highlight w:val="none"/>
              </w:rPr>
            </w:pPr>
            <w:r>
              <w:rPr>
                <w:rFonts w:ascii="Times New Roman" w:hAnsi="Times New Roman"/>
                <w:sz w:val="18"/>
                <w:szCs w:val="18"/>
                <w:highlight w:val="none"/>
              </w:rPr>
              <w:t>选取以下获取方式：</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实测值（如是，请具体填报时，采用在表下加备注的方式写明具体方法和标准）；</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缺省值（如是，请填写具体数值）；</w:t>
            </w:r>
          </w:p>
          <w:p>
            <w:pPr>
              <w:numPr>
                <w:ilvl w:val="0"/>
                <w:numId w:val="39"/>
              </w:numPr>
              <w:snapToGrid w:val="0"/>
              <w:spacing w:line="240" w:lineRule="auto"/>
              <w:ind w:left="0" w:firstLine="0"/>
              <w:jc w:val="left"/>
              <w:rPr>
                <w:rFonts w:ascii="Times New Roman" w:hAnsi="Times New Roman"/>
                <w:sz w:val="18"/>
                <w:szCs w:val="18"/>
                <w:highlight w:val="none"/>
              </w:rPr>
            </w:pPr>
            <w:r>
              <w:rPr>
                <w:rFonts w:ascii="Times New Roman" w:hAnsi="Times New Roman"/>
                <w:sz w:val="18"/>
                <w:szCs w:val="18"/>
                <w:highlight w:val="none"/>
              </w:rPr>
              <w:t>相关方结算凭证（如是，请具体填报时，采用在表下加备注的方式填写如何确保供应商数据质量）；</w:t>
            </w:r>
          </w:p>
          <w:p>
            <w:pPr>
              <w:numPr>
                <w:ilvl w:val="0"/>
                <w:numId w:val="39"/>
              </w:numPr>
              <w:snapToGrid w:val="0"/>
              <w:spacing w:line="240" w:lineRule="auto"/>
              <w:ind w:left="0" w:firstLine="0"/>
              <w:rPr>
                <w:rFonts w:ascii="Times New Roman" w:hAnsi="Times New Roman"/>
                <w:sz w:val="18"/>
                <w:szCs w:val="18"/>
                <w:highlight w:val="none"/>
              </w:rPr>
            </w:pPr>
            <w:r>
              <w:rPr>
                <w:rFonts w:ascii="Times New Roman" w:hAnsi="Times New Roman"/>
                <w:sz w:val="18"/>
                <w:szCs w:val="18"/>
                <w:highlight w:val="none"/>
              </w:rPr>
              <w:t>其他方式（如是，请具体填报时，采用在表下加备注的方式详细描述）。</w:t>
            </w:r>
          </w:p>
        </w:tc>
        <w:tc>
          <w:tcPr>
            <w:tcW w:w="4672"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测量设备（适用于数据获取方式来源于实测值）</w:t>
            </w:r>
          </w:p>
        </w:tc>
        <w:tc>
          <w:tcPr>
            <w:tcW w:w="714" w:type="dxa"/>
            <w:gridSpan w:val="2"/>
            <w:vMerge w:val="restart"/>
            <w:tcBorders>
              <w:top w:val="single" w:color="auto" w:sz="4" w:space="0"/>
              <w:left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数据记录频次</w:t>
            </w:r>
          </w:p>
        </w:tc>
        <w:tc>
          <w:tcPr>
            <w:tcW w:w="709"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kern w:val="0"/>
                <w:sz w:val="18"/>
                <w:szCs w:val="18"/>
                <w:highlight w:val="none"/>
              </w:rPr>
              <w:t>数据缺失时的处理方式</w:t>
            </w:r>
          </w:p>
        </w:tc>
        <w:tc>
          <w:tcPr>
            <w:tcW w:w="709" w:type="dxa"/>
            <w:vMerge w:val="restart"/>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sz w:val="18"/>
                <w:szCs w:val="18"/>
                <w:highlight w:val="none"/>
              </w:rPr>
            </w:pPr>
            <w:r>
              <w:rPr>
                <w:rFonts w:ascii="Times New Roman" w:hAnsi="Times New Roman"/>
                <w:sz w:val="18"/>
                <w:szCs w:val="18"/>
                <w:highlight w:val="none"/>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c>
          <w:tcPr>
            <w:tcW w:w="425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监测设备及型号</w:t>
            </w: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监测设备安装位置</w:t>
            </w:r>
          </w:p>
        </w:tc>
        <w:tc>
          <w:tcPr>
            <w:tcW w:w="851"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监测频次</w:t>
            </w:r>
          </w:p>
        </w:tc>
        <w:tc>
          <w:tcPr>
            <w:tcW w:w="992"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监测设备精度</w:t>
            </w:r>
          </w:p>
        </w:tc>
        <w:tc>
          <w:tcPr>
            <w:tcW w:w="845" w:type="dxa"/>
            <w:tcBorders>
              <w:top w:val="single" w:color="auto" w:sz="4" w:space="0"/>
              <w:left w:val="single" w:color="auto" w:sz="4" w:space="0"/>
              <w:bottom w:val="single" w:color="auto" w:sz="4" w:space="0"/>
              <w:right w:val="single" w:color="auto" w:sz="4" w:space="0"/>
            </w:tcBorders>
          </w:tcPr>
          <w:p>
            <w:pPr>
              <w:snapToGrid w:val="0"/>
              <w:spacing w:line="240" w:lineRule="auto"/>
              <w:jc w:val="center"/>
              <w:rPr>
                <w:rFonts w:ascii="Times New Roman" w:hAnsi="Times New Roman"/>
                <w:kern w:val="0"/>
                <w:sz w:val="18"/>
                <w:szCs w:val="18"/>
                <w:highlight w:val="none"/>
              </w:rPr>
            </w:pPr>
            <w:r>
              <w:rPr>
                <w:rFonts w:ascii="Times New Roman" w:hAnsi="Times New Roman"/>
                <w:kern w:val="0"/>
                <w:sz w:val="18"/>
                <w:szCs w:val="18"/>
                <w:highlight w:val="none"/>
              </w:rPr>
              <w:t>规定的监测设备校准频次</w:t>
            </w:r>
          </w:p>
        </w:tc>
        <w:tc>
          <w:tcPr>
            <w:tcW w:w="714" w:type="dxa"/>
            <w:gridSpan w:val="2"/>
            <w:vMerge w:val="continue"/>
            <w:tcBorders>
              <w:left w:val="single" w:color="auto" w:sz="4" w:space="0"/>
              <w:bottom w:val="single" w:color="auto" w:sz="4" w:space="0"/>
              <w:right w:val="single" w:color="auto" w:sz="4" w:space="0"/>
            </w:tcBorders>
          </w:tcPr>
          <w:p>
            <w:pPr>
              <w:widowControl/>
              <w:snapToGrid w:val="0"/>
              <w:spacing w:line="240" w:lineRule="auto"/>
              <w:rPr>
                <w:rFonts w:ascii="Times New Roman" w:hAnsi="Times New Roman"/>
                <w:sz w:val="18"/>
                <w:szCs w:val="18"/>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hint="eastAsia" w:ascii="Times New Roman" w:hAnsi="Times New Roman"/>
                <w:kern w:val="0"/>
                <w:sz w:val="18"/>
                <w:szCs w:val="18"/>
                <w:highlight w:val="none"/>
              </w:rPr>
              <w:t>净购入使用的热量</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GJ</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购入</w:t>
            </w:r>
            <w:r>
              <w:rPr>
                <w:rFonts w:hint="eastAsia" w:ascii="Times New Roman" w:hAnsi="Times New Roman"/>
                <w:kern w:val="0"/>
                <w:sz w:val="18"/>
                <w:szCs w:val="18"/>
                <w:highlight w:val="none"/>
              </w:rPr>
              <w:t>的总</w:t>
            </w:r>
            <w:r>
              <w:rPr>
                <w:rFonts w:ascii="Times New Roman" w:hAnsi="Times New Roman"/>
                <w:kern w:val="0"/>
                <w:sz w:val="18"/>
                <w:szCs w:val="18"/>
                <w:highlight w:val="none"/>
              </w:rPr>
              <w:t>热</w:t>
            </w:r>
            <w:r>
              <w:rPr>
                <w:rFonts w:hint="eastAsia" w:ascii="Times New Roman" w:hAnsi="Times New Roman"/>
                <w:kern w:val="0"/>
                <w:sz w:val="18"/>
                <w:szCs w:val="18"/>
                <w:highlight w:val="none"/>
              </w:rPr>
              <w:t>量</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GJ</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输出</w:t>
            </w:r>
            <w:r>
              <w:rPr>
                <w:rFonts w:hint="eastAsia" w:ascii="Times New Roman" w:hAnsi="Times New Roman"/>
                <w:kern w:val="0"/>
                <w:sz w:val="18"/>
                <w:szCs w:val="18"/>
                <w:highlight w:val="none"/>
              </w:rPr>
              <w:t>的总</w:t>
            </w:r>
            <w:r>
              <w:rPr>
                <w:rFonts w:ascii="Times New Roman" w:hAnsi="Times New Roman"/>
                <w:kern w:val="0"/>
                <w:sz w:val="18"/>
                <w:szCs w:val="18"/>
                <w:highlight w:val="none"/>
              </w:rPr>
              <w:t>热</w:t>
            </w:r>
            <w:r>
              <w:rPr>
                <w:rFonts w:hint="eastAsia" w:ascii="Times New Roman" w:hAnsi="Times New Roman"/>
                <w:kern w:val="0"/>
                <w:sz w:val="18"/>
                <w:szCs w:val="18"/>
                <w:highlight w:val="none"/>
              </w:rPr>
              <w:t>量</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GJ</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电力排放因子</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r>
              <w:rPr>
                <w:rFonts w:ascii="Times New Roman" w:hAnsi="Times New Roman"/>
                <w:sz w:val="18"/>
                <w:szCs w:val="18"/>
                <w:highlight w:val="none"/>
              </w:rPr>
              <w:t>tCO</w:t>
            </w:r>
            <w:r>
              <w:rPr>
                <w:rFonts w:ascii="Times New Roman" w:hAnsi="Times New Roman"/>
                <w:sz w:val="18"/>
                <w:szCs w:val="18"/>
                <w:highlight w:val="none"/>
                <w:vertAlign w:val="subscript"/>
              </w:rPr>
              <w:t>2</w:t>
            </w:r>
            <w:r>
              <w:rPr>
                <w:rFonts w:ascii="Times New Roman" w:hAnsi="Times New Roman"/>
                <w:sz w:val="18"/>
                <w:szCs w:val="18"/>
                <w:highlight w:val="none"/>
              </w:rPr>
              <w:t>/GJ</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84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rPr>
                <w:rFonts w:ascii="Times New Roman" w:hAnsi="Times New Roman"/>
                <w:sz w:val="18"/>
                <w:szCs w:val="18"/>
                <w:highlight w:val="none"/>
              </w:rPr>
            </w:pPr>
          </w:p>
        </w:tc>
      </w:tr>
    </w:tbl>
    <w:p>
      <w:pPr>
        <w:widowControl/>
        <w:adjustRightInd/>
        <w:spacing w:line="240" w:lineRule="auto"/>
        <w:jc w:val="left"/>
        <w:rPr>
          <w:rFonts w:ascii="Times New Roman" w:hAnsi="Times New Roman"/>
          <w:kern w:val="0"/>
          <w:szCs w:val="20"/>
          <w:highlight w:val="none"/>
        </w:rPr>
      </w:pPr>
    </w:p>
    <w:p>
      <w:pPr>
        <w:tabs>
          <w:tab w:val="left" w:pos="1095"/>
        </w:tabs>
        <w:rPr>
          <w:rFonts w:ascii="Times New Roman" w:hAnsi="Times New Roman"/>
          <w:kern w:val="0"/>
          <w:szCs w:val="20"/>
          <w:highlight w:val="none"/>
        </w:rPr>
        <w:sectPr>
          <w:headerReference r:id="rId14" w:type="default"/>
          <w:footerReference r:id="rId16" w:type="default"/>
          <w:headerReference r:id="rId15" w:type="even"/>
          <w:footerReference r:id="rId17" w:type="even"/>
          <w:pgSz w:w="16838" w:h="11906" w:orient="landscape"/>
          <w:pgMar w:top="1134" w:right="1871" w:bottom="1134" w:left="1134" w:header="1418" w:footer="1247" w:gutter="284"/>
          <w:cols w:space="425" w:num="1"/>
          <w:formProt w:val="0"/>
          <w:docGrid w:type="lines" w:linePitch="312" w:charSpace="0"/>
        </w:sectPr>
      </w:pPr>
    </w:p>
    <w:tbl>
      <w:tblPr>
        <w:tblStyle w:val="2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sz w:val="18"/>
                <w:szCs w:val="18"/>
                <w:highlight w:val="none"/>
              </w:rPr>
              <w:br w:type="page"/>
            </w:r>
            <w:r>
              <w:rPr>
                <w:rFonts w:ascii="Times New Roman" w:hAnsi="Times New Roman"/>
                <w:kern w:val="0"/>
                <w:sz w:val="18"/>
                <w:szCs w:val="18"/>
                <w:highlight w:val="none"/>
              </w:rPr>
              <w:t>E数据内部质量控制和质量保证相关规定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至少包括如下内容：</w:t>
            </w:r>
          </w:p>
          <w:p>
            <w:pPr>
              <w:widowControl/>
              <w:numPr>
                <w:ilvl w:val="0"/>
                <w:numId w:val="40"/>
              </w:numPr>
              <w:snapToGrid w:val="0"/>
              <w:spacing w:line="240" w:lineRule="auto"/>
              <w:ind w:left="0" w:firstLine="0"/>
              <w:rPr>
                <w:rFonts w:ascii="Times New Roman" w:hAnsi="Times New Roman"/>
                <w:kern w:val="0"/>
                <w:sz w:val="18"/>
                <w:szCs w:val="18"/>
                <w:highlight w:val="none"/>
              </w:rPr>
            </w:pPr>
            <w:r>
              <w:rPr>
                <w:rFonts w:hint="eastAsia" w:ascii="Times New Roman" w:hAnsi="Times New Roman"/>
                <w:kern w:val="0"/>
                <w:sz w:val="18"/>
                <w:szCs w:val="18"/>
                <w:highlight w:val="none"/>
              </w:rPr>
              <w:t>温室气体排放</w:t>
            </w:r>
            <w:r>
              <w:rPr>
                <w:rFonts w:ascii="Times New Roman" w:hAnsi="Times New Roman"/>
                <w:kern w:val="0"/>
                <w:sz w:val="18"/>
                <w:szCs w:val="18"/>
                <w:highlight w:val="none"/>
              </w:rPr>
              <w:t>数据质量控制计划制定、</w:t>
            </w:r>
            <w:r>
              <w:rPr>
                <w:rFonts w:hint="eastAsia" w:ascii="Times New Roman" w:hAnsi="Times New Roman"/>
                <w:kern w:val="0"/>
                <w:sz w:val="18"/>
                <w:szCs w:val="18"/>
                <w:highlight w:val="none"/>
              </w:rPr>
              <w:t>温室气体排放</w:t>
            </w:r>
            <w:r>
              <w:rPr>
                <w:rFonts w:ascii="Times New Roman" w:hAnsi="Times New Roman"/>
                <w:kern w:val="0"/>
                <w:sz w:val="18"/>
                <w:szCs w:val="18"/>
                <w:highlight w:val="none"/>
              </w:rPr>
              <w:t>报告专门人员的指定情况；</w:t>
            </w:r>
          </w:p>
          <w:p>
            <w:pPr>
              <w:widowControl/>
              <w:numPr>
                <w:ilvl w:val="0"/>
                <w:numId w:val="40"/>
              </w:numPr>
              <w:snapToGrid w:val="0"/>
              <w:spacing w:line="240" w:lineRule="auto"/>
              <w:ind w:left="0" w:firstLine="0"/>
              <w:rPr>
                <w:rFonts w:ascii="Times New Roman" w:hAnsi="Times New Roman"/>
                <w:kern w:val="0"/>
                <w:sz w:val="18"/>
                <w:szCs w:val="18"/>
                <w:highlight w:val="none"/>
              </w:rPr>
            </w:pPr>
            <w:r>
              <w:rPr>
                <w:rFonts w:ascii="Times New Roman" w:hAnsi="Times New Roman"/>
                <w:kern w:val="0"/>
                <w:sz w:val="18"/>
                <w:szCs w:val="18"/>
                <w:highlight w:val="none"/>
              </w:rPr>
              <w:t>数据质量控制计划的制定、修订、审批以及执行等的管理程序；</w:t>
            </w:r>
          </w:p>
          <w:p>
            <w:pPr>
              <w:widowControl/>
              <w:numPr>
                <w:ilvl w:val="0"/>
                <w:numId w:val="40"/>
              </w:numPr>
              <w:snapToGrid w:val="0"/>
              <w:spacing w:line="240" w:lineRule="auto"/>
              <w:ind w:left="0" w:firstLine="0"/>
              <w:rPr>
                <w:rFonts w:ascii="Times New Roman" w:hAnsi="Times New Roman"/>
                <w:kern w:val="0"/>
                <w:sz w:val="18"/>
                <w:szCs w:val="18"/>
                <w:highlight w:val="none"/>
              </w:rPr>
            </w:pPr>
            <w:r>
              <w:rPr>
                <w:rFonts w:hint="eastAsia" w:ascii="Times New Roman" w:hAnsi="Times New Roman"/>
                <w:kern w:val="0"/>
                <w:sz w:val="18"/>
                <w:szCs w:val="18"/>
                <w:highlight w:val="none"/>
              </w:rPr>
              <w:t>温室气体</w:t>
            </w:r>
            <w:r>
              <w:rPr>
                <w:rFonts w:ascii="Times New Roman" w:hAnsi="Times New Roman"/>
                <w:kern w:val="0"/>
                <w:sz w:val="18"/>
                <w:szCs w:val="18"/>
                <w:highlight w:val="none"/>
              </w:rPr>
              <w:t>排放报告的编写、内部评估以及审批等管理程序；</w:t>
            </w:r>
          </w:p>
          <w:p>
            <w:pPr>
              <w:widowControl/>
              <w:numPr>
                <w:ilvl w:val="0"/>
                <w:numId w:val="40"/>
              </w:numPr>
              <w:snapToGrid w:val="0"/>
              <w:spacing w:line="240" w:lineRule="auto"/>
              <w:ind w:left="0" w:firstLine="0"/>
              <w:rPr>
                <w:rFonts w:ascii="Times New Roman" w:hAnsi="Times New Roman"/>
                <w:kern w:val="0"/>
                <w:sz w:val="18"/>
                <w:szCs w:val="18"/>
                <w:highlight w:val="none"/>
              </w:rPr>
            </w:pPr>
            <w:r>
              <w:rPr>
                <w:rFonts w:hint="eastAsia" w:ascii="Times New Roman" w:hAnsi="Times New Roman"/>
                <w:kern w:val="0"/>
                <w:sz w:val="18"/>
                <w:szCs w:val="18"/>
                <w:highlight w:val="none"/>
              </w:rPr>
              <w:t>温室气体排放</w:t>
            </w:r>
            <w:r>
              <w:rPr>
                <w:rFonts w:ascii="Times New Roman" w:hAnsi="Times New Roman"/>
                <w:kern w:val="0"/>
                <w:sz w:val="18"/>
                <w:szCs w:val="18"/>
                <w:highlight w:val="none"/>
              </w:rPr>
              <w:t>数据文件的归档管理程序等内容。</w:t>
            </w: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（如不能全部描述可增加附件说明）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1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填报人：</w:t>
            </w:r>
          </w:p>
        </w:tc>
        <w:tc>
          <w:tcPr>
            <w:tcW w:w="482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填报时间：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1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内部审核人：</w:t>
            </w:r>
          </w:p>
        </w:tc>
        <w:tc>
          <w:tcPr>
            <w:tcW w:w="482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审核时间：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widowControl/>
              <w:snapToGrid w:val="0"/>
              <w:spacing w:line="240" w:lineRule="auto"/>
              <w:rPr>
                <w:rFonts w:ascii="Times New Roman" w:hAnsi="Times New Roman"/>
                <w:kern w:val="0"/>
                <w:sz w:val="18"/>
                <w:szCs w:val="18"/>
                <w:highlight w:val="none"/>
              </w:rPr>
            </w:pPr>
            <w:r>
              <w:rPr>
                <w:rFonts w:ascii="Times New Roman" w:hAnsi="Times New Roman"/>
                <w:kern w:val="0"/>
                <w:sz w:val="18"/>
                <w:szCs w:val="18"/>
                <w:highlight w:val="none"/>
              </w:rPr>
              <w:t>填报单位盖章</w:t>
            </w: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p>
            <w:pPr>
              <w:widowControl/>
              <w:snapToGrid w:val="0"/>
              <w:spacing w:line="240" w:lineRule="auto"/>
              <w:rPr>
                <w:rFonts w:ascii="Times New Roman" w:hAnsi="Times New Roman"/>
                <w:kern w:val="0"/>
                <w:sz w:val="18"/>
                <w:szCs w:val="18"/>
                <w:highlight w:val="none"/>
              </w:rPr>
            </w:pPr>
          </w:p>
        </w:tc>
      </w:tr>
    </w:tbl>
    <w:p>
      <w:pPr>
        <w:pStyle w:val="56"/>
        <w:ind w:firstLine="420"/>
        <w:rPr>
          <w:rFonts w:ascii="Times New Roman"/>
          <w:highlight w:val="none"/>
        </w:rPr>
      </w:pPr>
    </w:p>
    <w:bookmarkEnd w:id="155"/>
    <w:p>
      <w:pPr>
        <w:pStyle w:val="56"/>
        <w:ind w:firstLine="420"/>
        <w:rPr>
          <w:rFonts w:ascii="Times New Roman"/>
          <w:highlight w:val="none"/>
        </w:rPr>
        <w:sectPr>
          <w:headerReference r:id="rId18" w:type="default"/>
          <w:footerReference r:id="rId20" w:type="default"/>
          <w:headerReference r:id="rId19" w:type="even"/>
          <w:footerReference r:id="rId21" w:type="even"/>
          <w:pgSz w:w="11906" w:h="16838"/>
          <w:pgMar w:top="2410" w:right="1134" w:bottom="1134" w:left="1134" w:header="1418" w:footer="1134" w:gutter="284"/>
          <w:cols w:space="425" w:num="1"/>
          <w:formProt w:val="0"/>
          <w:docGrid w:type="lines" w:linePitch="312" w:charSpace="0"/>
        </w:sectPr>
      </w:pPr>
      <w:bookmarkStart w:id="173" w:name="BookMark6"/>
    </w:p>
    <w:p>
      <w:pPr>
        <w:pStyle w:val="63"/>
        <w:spacing w:before="124" w:after="156"/>
        <w:rPr>
          <w:highlight w:val="none"/>
        </w:rPr>
      </w:pPr>
      <w:bookmarkStart w:id="174" w:name="_Toc13984"/>
      <w:bookmarkStart w:id="175" w:name="_Toc128508465"/>
      <w:bookmarkStart w:id="176" w:name="_Toc128585870"/>
      <w:bookmarkStart w:id="177" w:name="_Toc128676572"/>
      <w:r>
        <w:rPr>
          <w:rFonts w:hint="eastAsia"/>
          <w:spacing w:val="105"/>
          <w:highlight w:val="none"/>
        </w:rPr>
        <w:t>参考文</w:t>
      </w:r>
      <w:r>
        <w:rPr>
          <w:rFonts w:hint="eastAsia"/>
          <w:highlight w:val="none"/>
        </w:rPr>
        <w:t>献</w:t>
      </w:r>
      <w:bookmarkEnd w:id="174"/>
      <w:bookmarkEnd w:id="175"/>
      <w:bookmarkEnd w:id="176"/>
      <w:bookmarkEnd w:id="177"/>
    </w:p>
    <w:p>
      <w:pPr>
        <w:pStyle w:val="56"/>
        <w:numPr>
          <w:ilvl w:val="0"/>
          <w:numId w:val="41"/>
        </w:numPr>
        <w:rPr>
          <w:rFonts w:hint="eastAsia" w:ascii="Times New Roman"/>
          <w:highlight w:val="none"/>
        </w:rPr>
      </w:pPr>
      <w:r>
        <w:rPr>
          <w:rFonts w:hint="eastAsia" w:ascii="Times New Roman"/>
          <w:highlight w:val="none"/>
        </w:rPr>
        <w:t>GB 12952 聚氯乙烯(PVC)防水卷材</w:t>
      </w:r>
    </w:p>
    <w:p>
      <w:pPr>
        <w:pStyle w:val="56"/>
        <w:numPr>
          <w:ilvl w:val="0"/>
          <w:numId w:val="41"/>
        </w:numPr>
        <w:rPr>
          <w:rFonts w:hint="eastAsia" w:ascii="Times New Roman"/>
          <w:highlight w:val="none"/>
        </w:rPr>
      </w:pPr>
      <w:r>
        <w:rPr>
          <w:rFonts w:hint="eastAsia" w:ascii="Times New Roman"/>
          <w:highlight w:val="none"/>
        </w:rPr>
        <w:t>GB 12953 氯化聚乙烯防水卷材</w:t>
      </w:r>
    </w:p>
    <w:p>
      <w:pPr>
        <w:pStyle w:val="56"/>
        <w:numPr>
          <w:ilvl w:val="0"/>
          <w:numId w:val="41"/>
        </w:numPr>
        <w:rPr>
          <w:rFonts w:hint="eastAsia" w:ascii="Times New Roman"/>
          <w:highlight w:val="none"/>
        </w:rPr>
      </w:pPr>
      <w:r>
        <w:rPr>
          <w:rFonts w:hint="eastAsia" w:ascii="Times New Roman"/>
          <w:highlight w:val="none"/>
        </w:rPr>
        <w:t>GB/T 18173.1 高分子防水材料 第1部分:片材</w:t>
      </w:r>
    </w:p>
    <w:p>
      <w:pPr>
        <w:pStyle w:val="56"/>
        <w:numPr>
          <w:ilvl w:val="0"/>
          <w:numId w:val="41"/>
        </w:numPr>
        <w:rPr>
          <w:rFonts w:hint="eastAsia" w:ascii="Times New Roman"/>
          <w:highlight w:val="none"/>
        </w:rPr>
      </w:pPr>
      <w:r>
        <w:rPr>
          <w:rFonts w:hint="eastAsia" w:ascii="Times New Roman"/>
          <w:highlight w:val="none"/>
        </w:rPr>
        <w:t>GB 18242 弹性体改性沥青防水卷材</w:t>
      </w:r>
    </w:p>
    <w:p>
      <w:pPr>
        <w:pStyle w:val="56"/>
        <w:numPr>
          <w:ilvl w:val="0"/>
          <w:numId w:val="41"/>
        </w:numPr>
        <w:rPr>
          <w:rFonts w:hint="eastAsia" w:ascii="Times New Roman"/>
          <w:highlight w:val="none"/>
        </w:rPr>
      </w:pPr>
      <w:r>
        <w:rPr>
          <w:rFonts w:hint="eastAsia" w:ascii="Times New Roman"/>
          <w:highlight w:val="none"/>
        </w:rPr>
        <w:t>GB 18243 塑性体改性沥青防水卷材</w:t>
      </w:r>
    </w:p>
    <w:p>
      <w:pPr>
        <w:pStyle w:val="56"/>
        <w:numPr>
          <w:ilvl w:val="0"/>
          <w:numId w:val="41"/>
        </w:numPr>
        <w:rPr>
          <w:rFonts w:hint="eastAsia" w:ascii="Times New Roman"/>
          <w:highlight w:val="none"/>
        </w:rPr>
      </w:pPr>
      <w:r>
        <w:rPr>
          <w:rFonts w:hint="eastAsia" w:ascii="Times New Roman"/>
          <w:highlight w:val="none"/>
          <w:lang w:val="en-US" w:eastAsia="zh-CN"/>
        </w:rPr>
        <w:t>GB 18445 水泥基渗透结晶防水材料</w:t>
      </w:r>
    </w:p>
    <w:p>
      <w:pPr>
        <w:pStyle w:val="56"/>
        <w:numPr>
          <w:ilvl w:val="0"/>
          <w:numId w:val="41"/>
        </w:numPr>
        <w:rPr>
          <w:rFonts w:hint="eastAsia" w:ascii="Times New Roman"/>
          <w:highlight w:val="none"/>
        </w:rPr>
      </w:pPr>
      <w:r>
        <w:rPr>
          <w:rFonts w:hint="eastAsia" w:ascii="Times New Roman"/>
          <w:highlight w:val="none"/>
        </w:rPr>
        <w:t>GB 18967 改性沥青聚乙烯胎防水卷材</w:t>
      </w:r>
    </w:p>
    <w:p>
      <w:pPr>
        <w:pStyle w:val="56"/>
        <w:numPr>
          <w:ilvl w:val="0"/>
          <w:numId w:val="41"/>
        </w:numPr>
        <w:rPr>
          <w:rFonts w:hint="eastAsia" w:ascii="Times New Roman"/>
          <w:highlight w:val="none"/>
        </w:rPr>
      </w:pPr>
      <w:r>
        <w:rPr>
          <w:rFonts w:hint="eastAsia" w:ascii="Times New Roman"/>
          <w:highlight w:val="none"/>
          <w:lang w:val="en-US" w:eastAsia="zh-CN"/>
        </w:rPr>
        <w:t>GB/T 19250 聚氨酯防水涂料</w:t>
      </w:r>
    </w:p>
    <w:p>
      <w:pPr>
        <w:pStyle w:val="56"/>
        <w:numPr>
          <w:ilvl w:val="0"/>
          <w:numId w:val="41"/>
        </w:numPr>
        <w:rPr>
          <w:rFonts w:hint="eastAsia" w:ascii="Times New Roman"/>
          <w:highlight w:val="none"/>
        </w:rPr>
      </w:pPr>
      <w:r>
        <w:rPr>
          <w:rFonts w:hint="eastAsia" w:ascii="Times New Roman"/>
          <w:highlight w:val="none"/>
        </w:rPr>
        <w:t>GB/T 20474 玻纤胎沥青瓦</w:t>
      </w:r>
    </w:p>
    <w:p>
      <w:pPr>
        <w:pStyle w:val="56"/>
        <w:numPr>
          <w:ilvl w:val="0"/>
          <w:numId w:val="41"/>
        </w:numPr>
        <w:rPr>
          <w:rFonts w:hint="eastAsia" w:ascii="Times New Roman"/>
          <w:highlight w:val="none"/>
        </w:rPr>
      </w:pPr>
      <w:r>
        <w:rPr>
          <w:rFonts w:hint="eastAsia" w:ascii="Times New Roman"/>
          <w:highlight w:val="none"/>
        </w:rPr>
        <w:t>GB/T 23260 带自粘层的防水卷材</w:t>
      </w:r>
    </w:p>
    <w:p>
      <w:pPr>
        <w:pStyle w:val="56"/>
        <w:numPr>
          <w:ilvl w:val="0"/>
          <w:numId w:val="41"/>
        </w:numPr>
        <w:rPr>
          <w:rFonts w:hint="eastAsia" w:ascii="Times New Roman"/>
          <w:highlight w:val="none"/>
        </w:rPr>
      </w:pPr>
      <w:r>
        <w:rPr>
          <w:rFonts w:hint="eastAsia" w:ascii="Times New Roman"/>
          <w:highlight w:val="none"/>
        </w:rPr>
        <w:t>GB 23441 自粘聚合物改性沥青防水卷材</w:t>
      </w:r>
    </w:p>
    <w:p>
      <w:pPr>
        <w:pStyle w:val="56"/>
        <w:numPr>
          <w:ilvl w:val="0"/>
          <w:numId w:val="41"/>
        </w:numPr>
        <w:rPr>
          <w:rFonts w:hint="eastAsia" w:ascii="Times New Roman"/>
          <w:highlight w:val="none"/>
        </w:rPr>
      </w:pPr>
      <w:r>
        <w:rPr>
          <w:rFonts w:hint="eastAsia" w:ascii="Times New Roman"/>
          <w:highlight w:val="none"/>
          <w:lang w:val="en-US" w:eastAsia="zh-CN"/>
        </w:rPr>
        <w:t>GB/T 23445 聚合物水泥防水涂料</w:t>
      </w:r>
    </w:p>
    <w:p>
      <w:pPr>
        <w:pStyle w:val="56"/>
        <w:numPr>
          <w:ilvl w:val="0"/>
          <w:numId w:val="41"/>
        </w:numPr>
        <w:rPr>
          <w:rFonts w:hint="eastAsia" w:ascii="Times New Roman"/>
          <w:highlight w:val="none"/>
        </w:rPr>
      </w:pPr>
      <w:r>
        <w:rPr>
          <w:rFonts w:hint="eastAsia" w:ascii="Times New Roman"/>
          <w:highlight w:val="none"/>
          <w:lang w:val="en-US" w:eastAsia="zh-CN"/>
        </w:rPr>
        <w:t>GB/T 23446 喷涂聚脲防水涂料</w:t>
      </w:r>
    </w:p>
    <w:p>
      <w:pPr>
        <w:pStyle w:val="56"/>
        <w:numPr>
          <w:ilvl w:val="0"/>
          <w:numId w:val="41"/>
        </w:numPr>
        <w:rPr>
          <w:rFonts w:hint="eastAsia" w:ascii="Times New Roman"/>
          <w:highlight w:val="none"/>
        </w:rPr>
      </w:pPr>
      <w:r>
        <w:rPr>
          <w:rFonts w:hint="eastAsia" w:ascii="Times New Roman"/>
          <w:highlight w:val="none"/>
        </w:rPr>
        <w:t>GB/T 23457 预铺防水卷材</w:t>
      </w:r>
    </w:p>
    <w:p>
      <w:pPr>
        <w:pStyle w:val="56"/>
        <w:numPr>
          <w:ilvl w:val="0"/>
          <w:numId w:val="41"/>
        </w:numPr>
        <w:rPr>
          <w:rFonts w:hint="eastAsia" w:ascii="Times New Roman"/>
          <w:highlight w:val="none"/>
        </w:rPr>
      </w:pPr>
      <w:r>
        <w:rPr>
          <w:rFonts w:hint="eastAsia" w:ascii="Times New Roman"/>
          <w:highlight w:val="none"/>
        </w:rPr>
        <w:t>GB/T 26518 高分子增强复合防水片材</w:t>
      </w:r>
    </w:p>
    <w:p>
      <w:pPr>
        <w:pStyle w:val="56"/>
        <w:numPr>
          <w:ilvl w:val="0"/>
          <w:numId w:val="41"/>
        </w:numPr>
        <w:rPr>
          <w:rFonts w:hint="eastAsia" w:ascii="Times New Roman"/>
          <w:highlight w:val="none"/>
        </w:rPr>
      </w:pPr>
      <w:r>
        <w:rPr>
          <w:rFonts w:hint="eastAsia" w:ascii="Times New Roman"/>
          <w:highlight w:val="none"/>
        </w:rPr>
        <w:t>GB 27789 热塑性聚烯烃(TPO)防水卷材</w:t>
      </w:r>
    </w:p>
    <w:p>
      <w:pPr>
        <w:pStyle w:val="56"/>
        <w:numPr>
          <w:ilvl w:val="0"/>
          <w:numId w:val="41"/>
        </w:numPr>
        <w:rPr>
          <w:rFonts w:hint="eastAsia" w:ascii="Times New Roman"/>
          <w:highlight w:val="none"/>
        </w:rPr>
      </w:pPr>
      <w:r>
        <w:rPr>
          <w:rFonts w:ascii="Times New Roman"/>
          <w:highlight w:val="none"/>
        </w:rPr>
        <w:t>GB/T 32150-2015 工业企业温室气体排放核算与报告通则</w:t>
      </w:r>
    </w:p>
    <w:p>
      <w:pPr>
        <w:pStyle w:val="56"/>
        <w:numPr>
          <w:ilvl w:val="0"/>
          <w:numId w:val="41"/>
        </w:numPr>
        <w:rPr>
          <w:rFonts w:hint="eastAsia" w:ascii="Times New Roman"/>
          <w:highlight w:val="none"/>
        </w:rPr>
      </w:pPr>
      <w:r>
        <w:rPr>
          <w:rFonts w:hint="eastAsia" w:ascii="Times New Roman"/>
          <w:highlight w:val="none"/>
        </w:rPr>
        <w:t>GB/T 35467 湿铺防水卷材</w:t>
      </w:r>
    </w:p>
    <w:p>
      <w:pPr>
        <w:pStyle w:val="56"/>
        <w:numPr>
          <w:ilvl w:val="0"/>
          <w:numId w:val="41"/>
        </w:numPr>
        <w:rPr>
          <w:rFonts w:hint="eastAsia" w:ascii="Times New Roman"/>
          <w:highlight w:val="none"/>
        </w:rPr>
      </w:pPr>
      <w:r>
        <w:rPr>
          <w:rFonts w:hint="eastAsia" w:ascii="Times New Roman"/>
          <w:highlight w:val="none"/>
        </w:rPr>
        <w:t>GB/T 35468 种植屋面用耐根穿刺防水卷材</w:t>
      </w:r>
    </w:p>
    <w:p>
      <w:pPr>
        <w:pStyle w:val="56"/>
        <w:numPr>
          <w:ilvl w:val="0"/>
          <w:numId w:val="41"/>
        </w:numPr>
        <w:rPr>
          <w:rFonts w:hint="eastAsia" w:ascii="Times New Roman"/>
          <w:highlight w:val="none"/>
        </w:rPr>
      </w:pPr>
      <w:r>
        <w:rPr>
          <w:rFonts w:hint="eastAsia" w:ascii="Times New Roman"/>
          <w:highlight w:val="none"/>
          <w:lang w:val="en-US" w:eastAsia="zh-CN"/>
        </w:rPr>
        <w:t>JC/T 864 聚合物乳液建筑防水涂料</w:t>
      </w:r>
    </w:p>
    <w:p>
      <w:pPr>
        <w:pStyle w:val="56"/>
        <w:numPr>
          <w:ilvl w:val="0"/>
          <w:numId w:val="41"/>
        </w:numPr>
        <w:rPr>
          <w:rFonts w:hint="eastAsia" w:ascii="Times New Roman"/>
          <w:highlight w:val="none"/>
        </w:rPr>
      </w:pPr>
      <w:r>
        <w:rPr>
          <w:rFonts w:hint="eastAsia" w:ascii="Times New Roman"/>
          <w:highlight w:val="none"/>
        </w:rPr>
        <w:t>JC/T 974 道桥用改性沥青防水卷材</w:t>
      </w:r>
    </w:p>
    <w:p>
      <w:pPr>
        <w:pStyle w:val="56"/>
        <w:numPr>
          <w:ilvl w:val="0"/>
          <w:numId w:val="41"/>
        </w:numPr>
        <w:rPr>
          <w:rFonts w:hint="eastAsia" w:ascii="Times New Roman"/>
          <w:highlight w:val="none"/>
        </w:rPr>
      </w:pPr>
      <w:r>
        <w:rPr>
          <w:rFonts w:hint="eastAsia" w:ascii="Times New Roman"/>
          <w:highlight w:val="none"/>
        </w:rPr>
        <w:t>JC/T 1076 胶粉改性沥青玻纤毡与玻纤网格布增强防水卷材</w:t>
      </w:r>
    </w:p>
    <w:p>
      <w:pPr>
        <w:pStyle w:val="56"/>
        <w:numPr>
          <w:ilvl w:val="0"/>
          <w:numId w:val="41"/>
        </w:numPr>
        <w:rPr>
          <w:rFonts w:hint="eastAsia" w:ascii="Times New Roman"/>
          <w:highlight w:val="none"/>
        </w:rPr>
      </w:pPr>
      <w:r>
        <w:rPr>
          <w:rFonts w:hint="eastAsia" w:ascii="Times New Roman"/>
          <w:highlight w:val="none"/>
        </w:rPr>
        <w:t>JC/T 1077 胶粉改性沥青玻纤毡与聚乙烯膜增强防水卷材</w:t>
      </w:r>
    </w:p>
    <w:p>
      <w:pPr>
        <w:pStyle w:val="56"/>
        <w:numPr>
          <w:ilvl w:val="0"/>
          <w:numId w:val="41"/>
        </w:numPr>
        <w:rPr>
          <w:rFonts w:ascii="Times New Roman"/>
          <w:highlight w:val="none"/>
        </w:rPr>
      </w:pPr>
      <w:r>
        <w:rPr>
          <w:rFonts w:hint="eastAsia" w:ascii="Times New Roman"/>
          <w:highlight w:val="none"/>
        </w:rPr>
        <w:t>JC/T 1078 胶粉改性沥青聚酷毡与玻纤网格布增强防水卷材</w:t>
      </w:r>
    </w:p>
    <w:p>
      <w:pPr>
        <w:pStyle w:val="56"/>
        <w:numPr>
          <w:ilvl w:val="0"/>
          <w:numId w:val="41"/>
        </w:numPr>
        <w:rPr>
          <w:rFonts w:ascii="Times New Roman"/>
          <w:highlight w:val="none"/>
        </w:rPr>
      </w:pPr>
      <w:r>
        <w:rPr>
          <w:rFonts w:hint="eastAsia" w:ascii="Times New Roman"/>
          <w:highlight w:val="none"/>
          <w:lang w:val="en-US" w:eastAsia="zh-CN"/>
        </w:rPr>
        <w:t>JC/T 2217 环氧树脂防水涂料</w:t>
      </w:r>
    </w:p>
    <w:p>
      <w:pPr>
        <w:pStyle w:val="56"/>
        <w:numPr>
          <w:ilvl w:val="0"/>
          <w:numId w:val="41"/>
        </w:numPr>
        <w:rPr>
          <w:rFonts w:ascii="Times New Roman"/>
          <w:highlight w:val="none"/>
        </w:rPr>
      </w:pPr>
      <w:r>
        <w:rPr>
          <w:rFonts w:hint="eastAsia" w:ascii="Times New Roman"/>
          <w:highlight w:val="none"/>
          <w:lang w:val="en-US" w:eastAsia="zh-CN"/>
        </w:rPr>
        <w:t>JC/T 2251 聚甲基丙烯酸甲酯（PMMA）防水涂料</w:t>
      </w:r>
    </w:p>
    <w:p>
      <w:pPr>
        <w:pStyle w:val="56"/>
        <w:numPr>
          <w:ilvl w:val="0"/>
          <w:numId w:val="41"/>
        </w:numPr>
        <w:rPr>
          <w:rFonts w:ascii="Times New Roman"/>
          <w:highlight w:val="none"/>
        </w:rPr>
      </w:pPr>
      <w:r>
        <w:rPr>
          <w:rFonts w:hint="eastAsia" w:ascii="Times New Roman"/>
          <w:highlight w:val="none"/>
          <w:lang w:val="en-US" w:eastAsia="zh-CN"/>
        </w:rPr>
        <w:t>JC/T 2253 脂肪族聚氨酯耐候防水涂料</w:t>
      </w:r>
    </w:p>
    <w:p>
      <w:pPr>
        <w:pStyle w:val="56"/>
        <w:numPr>
          <w:ilvl w:val="0"/>
          <w:numId w:val="41"/>
        </w:numPr>
        <w:rPr>
          <w:rFonts w:ascii="Times New Roman"/>
          <w:highlight w:val="none"/>
        </w:rPr>
      </w:pPr>
      <w:r>
        <w:rPr>
          <w:rFonts w:hint="eastAsia" w:ascii="Times New Roman"/>
          <w:highlight w:val="none"/>
          <w:lang w:val="en-US" w:eastAsia="zh-CN"/>
        </w:rPr>
        <w:t>JC/T 2317 喷涂橡胶沥青防水涂料</w:t>
      </w:r>
    </w:p>
    <w:p>
      <w:pPr>
        <w:pStyle w:val="56"/>
        <w:numPr>
          <w:ilvl w:val="0"/>
          <w:numId w:val="41"/>
        </w:numPr>
        <w:rPr>
          <w:rFonts w:ascii="Times New Roman"/>
          <w:highlight w:val="none"/>
        </w:rPr>
      </w:pPr>
      <w:r>
        <w:rPr>
          <w:rFonts w:hint="eastAsia" w:ascii="Times New Roman"/>
          <w:highlight w:val="none"/>
          <w:lang w:val="en-US" w:eastAsia="zh-CN"/>
        </w:rPr>
        <w:t>JC/T 2428 非固化橡胶沥青防水涂料</w:t>
      </w:r>
    </w:p>
    <w:p>
      <w:pPr>
        <w:pStyle w:val="56"/>
        <w:numPr>
          <w:ilvl w:val="0"/>
          <w:numId w:val="41"/>
        </w:numPr>
        <w:rPr>
          <w:rFonts w:ascii="Times New Roman"/>
          <w:highlight w:val="none"/>
        </w:rPr>
      </w:pPr>
      <w:r>
        <w:rPr>
          <w:rFonts w:hint="eastAsia" w:ascii="Times New Roman"/>
          <w:highlight w:val="none"/>
          <w:lang w:val="en-US" w:eastAsia="zh-CN"/>
        </w:rPr>
        <w:t>JC/T 2435 单组分聚脲防水涂料</w:t>
      </w:r>
    </w:p>
    <w:p>
      <w:pPr>
        <w:pStyle w:val="56"/>
        <w:numPr>
          <w:ilvl w:val="0"/>
          <w:numId w:val="41"/>
        </w:numPr>
        <w:rPr>
          <w:rFonts w:ascii="Times New Roman"/>
          <w:highlight w:val="none"/>
        </w:rPr>
      </w:pPr>
      <w:r>
        <w:rPr>
          <w:rFonts w:hint="eastAsia" w:ascii="Times New Roman"/>
          <w:highlight w:val="none"/>
          <w:lang w:val="en-US" w:eastAsia="zh-CN"/>
        </w:rPr>
        <w:t>JC/T 2678 热熔橡胶沥青防水涂料</w:t>
      </w:r>
    </w:p>
    <w:p>
      <w:pPr>
        <w:pStyle w:val="56"/>
        <w:numPr>
          <w:ilvl w:val="0"/>
          <w:numId w:val="41"/>
        </w:numPr>
        <w:rPr>
          <w:rFonts w:ascii="Times New Roman"/>
          <w:highlight w:val="none"/>
        </w:rPr>
      </w:pPr>
      <w:r>
        <w:rPr>
          <w:rFonts w:hint="eastAsia" w:ascii="Times New Roman"/>
          <w:highlight w:val="none"/>
          <w:lang w:val="en-US" w:eastAsia="zh-CN"/>
        </w:rPr>
        <w:t>JG/T 375 金属屋面丙烯酸高弹防水涂料</w:t>
      </w:r>
    </w:p>
    <w:p>
      <w:pPr>
        <w:pStyle w:val="56"/>
        <w:numPr>
          <w:ilvl w:val="0"/>
          <w:numId w:val="41"/>
        </w:numPr>
        <w:rPr>
          <w:rFonts w:ascii="Times New Roman"/>
        </w:rPr>
      </w:pPr>
      <w:r>
        <w:rPr>
          <w:rFonts w:hint="eastAsia" w:ascii="Times New Roman"/>
        </w:rPr>
        <w:t>《</w:t>
      </w:r>
      <w:r>
        <w:rPr>
          <w:rFonts w:ascii="Times New Roman"/>
        </w:rPr>
        <w:t>中国能源统计年鉴20</w:t>
      </w:r>
      <w:r>
        <w:rPr>
          <w:rFonts w:hint="eastAsia" w:ascii="Times New Roman"/>
        </w:rPr>
        <w:t>21》</w:t>
      </w:r>
      <w:r>
        <w:rPr>
          <w:rFonts w:ascii="Times New Roman"/>
        </w:rPr>
        <w:t>，国家统计局能源统计司，</w:t>
      </w:r>
      <w:r>
        <w:rPr>
          <w:rFonts w:hint="eastAsia" w:ascii="Times New Roman"/>
        </w:rPr>
        <w:t>中国统计出版社</w:t>
      </w:r>
    </w:p>
    <w:p>
      <w:pPr>
        <w:pStyle w:val="56"/>
        <w:numPr>
          <w:ilvl w:val="0"/>
          <w:numId w:val="41"/>
        </w:numPr>
        <w:rPr>
          <w:rFonts w:ascii="Times New Roman"/>
        </w:rPr>
      </w:pPr>
      <w:r>
        <w:rPr>
          <w:rFonts w:hint="eastAsia" w:ascii="Times New Roman"/>
        </w:rPr>
        <w:t>《</w:t>
      </w:r>
      <w:r>
        <w:rPr>
          <w:rFonts w:ascii="Times New Roman"/>
        </w:rPr>
        <w:t>省级温室气体清单编制指南（试行）</w:t>
      </w:r>
      <w:r>
        <w:rPr>
          <w:rFonts w:hint="eastAsia" w:ascii="Times New Roman"/>
        </w:rPr>
        <w:t>》</w:t>
      </w:r>
      <w:r>
        <w:rPr>
          <w:rFonts w:ascii="Times New Roman"/>
        </w:rPr>
        <w:t>，国家发展</w:t>
      </w:r>
      <w:r>
        <w:rPr>
          <w:rFonts w:hint="eastAsia" w:ascii="Times New Roman"/>
        </w:rPr>
        <w:t>和</w:t>
      </w:r>
      <w:r>
        <w:rPr>
          <w:rFonts w:ascii="Times New Roman"/>
        </w:rPr>
        <w:t>改革</w:t>
      </w:r>
      <w:r>
        <w:rPr>
          <w:rFonts w:hint="eastAsia" w:ascii="Times New Roman"/>
        </w:rPr>
        <w:t>委员会</w:t>
      </w:r>
      <w:r>
        <w:rPr>
          <w:rFonts w:ascii="Times New Roman"/>
        </w:rPr>
        <w:t>办公厅</w:t>
      </w:r>
    </w:p>
    <w:p>
      <w:pPr>
        <w:pStyle w:val="56"/>
        <w:numPr>
          <w:ilvl w:val="0"/>
          <w:numId w:val="41"/>
        </w:numPr>
        <w:rPr>
          <w:rFonts w:ascii="Times New Roman"/>
        </w:rPr>
      </w:pPr>
      <w:r>
        <w:rPr>
          <w:rFonts w:hint="eastAsia" w:ascii="Times New Roman"/>
        </w:rPr>
        <w:t>《2006年 IPCC 国家温室气体清单指南》及2019修订版，政府间气候变化专门委员会（IPCC）</w:t>
      </w:r>
    </w:p>
    <w:p>
      <w:pPr>
        <w:pStyle w:val="56"/>
        <w:ind w:firstLine="0" w:firstLineChars="0"/>
        <w:jc w:val="center"/>
        <w:rPr>
          <w:rFonts w:ascii="Times New Roman"/>
          <w:highlight w:val="none"/>
        </w:rPr>
      </w:pPr>
    </w:p>
    <w:bookmarkEnd w:id="173"/>
    <w:p>
      <w:pPr>
        <w:pStyle w:val="56"/>
        <w:ind w:firstLine="0" w:firstLineChars="0"/>
        <w:jc w:val="center"/>
        <w:rPr>
          <w:rFonts w:ascii="Times New Roman"/>
        </w:rPr>
      </w:pPr>
      <w:bookmarkStart w:id="178" w:name="BookMark8"/>
      <w:r>
        <w:rPr>
          <w:rFonts w:hint="eastAsia" w:ascii="Times New Roman"/>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8"/>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宋体"/>
    <w:panose1 w:val="00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mc:AlternateContent>
        <mc:Choice Requires="wps">
          <w:drawing>
            <wp:anchor distT="0" distB="0" distL="114300" distR="114300" simplePos="0" relativeHeight="251661312" behindDoc="0" locked="0" layoutInCell="1" allowOverlap="1">
              <wp:simplePos x="0" y="0"/>
              <wp:positionH relativeFrom="page">
                <wp:posOffset>719455</wp:posOffset>
              </wp:positionH>
              <wp:positionV relativeFrom="page">
                <wp:posOffset>6539230</wp:posOffset>
              </wp:positionV>
              <wp:extent cx="1828800" cy="1828800"/>
              <wp:effectExtent l="0" t="0" r="0" b="508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52"/>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514.9pt;height:144pt;width:144pt;mso-position-horizontal-relative:page;mso-position-vertical-relative:page;mso-wrap-style:none;z-index:251661312;v-text-anchor:bottom;mso-width-relative:page;mso-height-relative:page;" filled="f" stroked="f" coordsize="21600,21600" o:gfxdata="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dursa2QAAAA0BAAAPAAAAAAAAAAEAIAAAACIAAABkcnMvZG93&#10;bnJldi54bWxQSwECFAAUAAAACACHTuJApGlbbTgCAABnBAAADgAAAAAAAAABACAAAAAoAQAAZHJz&#10;L2Uyb0RvYy54bWxQSwUGAAAAAAYABgBZAQAA0gUAAAAA&#10;">
              <v:fill on="f" focussize="0,0"/>
              <v:stroke on="f" weight="0.5pt"/>
              <v:imagedata o:title=""/>
              <o:lock v:ext="edit" aspectratio="f"/>
              <v:textbox style="layout-flow:vertical-ideographic;mso-fit-shape-to-text:t;">
                <w:txbxContent>
                  <w:p>
                    <w:pPr>
                      <w:pStyle w:val="52"/>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4384"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68pt;height:144pt;width:144pt;mso-position-horizontal-relative:page;mso-position-vertical-relative:page;mso-wrap-style:none;z-index:251664384;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YhOXWAAAACwEAAA8AAAAAAAAAAQAgAAAAIgAAAGRycy9kb3ducmV2LnhtbFBLAQIU&#10;ABQAAAAIAIdO4kACNtJqLgIAAFcEAAAOAAAAAAAAAAEAIAAAACUBAABkcnMvZTJvRG9jLnhtbFBL&#10;BQYAAAAABgAGAFkBAADFBQAAAAA=&#10;">
              <v:fill on="f" focussize="0,0"/>
              <v:stroke on="f" weight="0.5pt"/>
              <v:imagedata o:title=""/>
              <o:lock v:ext="edit" aspectratio="f"/>
              <v:textbox inset="0mm,0mm,0mm,0mm" style="layout-flow:vertical-ideographic;mso-fit-shape-to-text:t;">
                <w:txbxContent>
                  <w:p>
                    <w:pPr>
                      <w:pStyle w:val="1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pPr>
        <w:spacing w:line="240" w:lineRule="auto"/>
      </w:pPr>
      <w:r>
        <w:separator/>
      </w:r>
    </w:p>
  </w:footnote>
  <w:footnote w:type="continuationSeparator" w:id="15">
    <w:p>
      <w:pPr>
        <w:spacing w:line="240" w:lineRule="auto"/>
      </w:pPr>
      <w:r>
        <w:continuationSeparator/>
      </w:r>
    </w:p>
  </w:footnote>
  <w:footnote w:id="0">
    <w:p>
      <w:pPr>
        <w:pStyle w:val="21"/>
        <w:ind w:left="420" w:firstLine="0" w:firstLineChars="0"/>
        <w:rPr>
          <w:rFonts w:ascii="Times New Roman"/>
        </w:rPr>
      </w:pPr>
      <w:r>
        <w:rPr>
          <w:rStyle w:val="33"/>
          <w:rFonts w:ascii="Times New Roman"/>
        </w:rPr>
        <w:footnoteRef/>
      </w:r>
      <w:r>
        <w:rPr>
          <w:rFonts w:ascii="Times New Roman"/>
        </w:rPr>
        <w:t xml:space="preserve">  </w:t>
      </w:r>
      <w:r>
        <w:rPr>
          <w:rFonts w:hint="eastAsia" w:ascii="Times New Roman"/>
        </w:rPr>
        <w:t>本指南所称存量常规水电是指</w:t>
      </w:r>
      <w:r>
        <w:rPr>
          <w:rFonts w:ascii="Times New Roman"/>
        </w:rPr>
        <w:t>2023</w:t>
      </w:r>
      <w:r>
        <w:rPr>
          <w:rFonts w:hint="eastAsia" w:ascii="Times New Roman"/>
        </w:rPr>
        <w:t>年</w:t>
      </w:r>
      <w:r>
        <w:rPr>
          <w:rFonts w:ascii="Times New Roman"/>
        </w:rPr>
        <w:t>1</w:t>
      </w:r>
      <w:r>
        <w:rPr>
          <w:rFonts w:hint="eastAsia" w:ascii="Times New Roman"/>
        </w:rPr>
        <w:t>月</w:t>
      </w:r>
      <w:r>
        <w:rPr>
          <w:rFonts w:ascii="Times New Roman"/>
        </w:rPr>
        <w:t>1</w:t>
      </w:r>
      <w:r>
        <w:rPr>
          <w:rFonts w:hint="eastAsia" w:ascii="Times New Roman"/>
        </w:rPr>
        <w:t>日之前投产的水电项目。</w:t>
      </w:r>
    </w:p>
  </w:footnote>
  <w:footnote w:id="1">
    <w:p>
      <w:pPr>
        <w:pStyle w:val="21"/>
        <w:numPr>
          <w:ilvl w:val="0"/>
          <w:numId w:val="33"/>
        </w:numPr>
        <w:spacing w:line="240" w:lineRule="auto"/>
        <w:ind w:leftChars="0" w:firstLineChars="0"/>
        <w:rPr>
          <w:rFonts w:hAnsi="宋体"/>
        </w:rPr>
      </w:pPr>
      <w:r>
        <w:rPr>
          <w:rStyle w:val="33"/>
        </w:rPr>
        <w:footnoteRef/>
      </w:r>
      <w:r>
        <w:rPr>
          <w:rFonts w:hint="eastAsia" w:hAnsi="宋体"/>
        </w:rPr>
        <w:t>按行业核算方法和报告要求中的“核算边界”章节的要求具体描述。</w:t>
      </w:r>
    </w:p>
  </w:footnote>
  <w:footnote w:id="2">
    <w:p>
      <w:pPr>
        <w:pStyle w:val="21"/>
        <w:numPr>
          <w:ilvl w:val="0"/>
          <w:numId w:val="33"/>
        </w:numPr>
        <w:spacing w:line="240" w:lineRule="auto"/>
        <w:ind w:leftChars="0" w:firstLineChars="0"/>
        <w:rPr>
          <w:rFonts w:hAnsi="宋体"/>
        </w:rPr>
      </w:pPr>
      <w:r>
        <w:rPr>
          <w:rStyle w:val="33"/>
        </w:rPr>
        <w:footnoteRef/>
      </w:r>
      <w:r>
        <w:rPr>
          <w:rFonts w:hint="eastAsia" w:hAnsi="宋体"/>
        </w:rPr>
        <w:t>对于同一设施同时涉及5</w:t>
      </w:r>
      <w:r>
        <w:rPr>
          <w:rFonts w:hAnsi="宋体"/>
        </w:rPr>
        <w:t>.1/</w:t>
      </w:r>
      <w:r>
        <w:rPr>
          <w:rFonts w:hint="eastAsia" w:hAnsi="宋体"/>
        </w:rPr>
        <w:t>5</w:t>
      </w:r>
      <w:r>
        <w:rPr>
          <w:rFonts w:hAnsi="宋体"/>
        </w:rPr>
        <w:t>.2/</w:t>
      </w:r>
      <w:r>
        <w:rPr>
          <w:rFonts w:hint="eastAsia" w:hAnsi="宋体"/>
        </w:rPr>
        <w:t>5</w:t>
      </w:r>
      <w:r>
        <w:rPr>
          <w:rFonts w:hAnsi="宋体"/>
        </w:rPr>
        <w:t>.3</w:t>
      </w:r>
      <w:r>
        <w:rPr>
          <w:rFonts w:hint="eastAsia" w:hAnsi="宋体"/>
        </w:rPr>
        <w:t>类排放的，需要在各类排放设施中重复填写。</w:t>
      </w:r>
    </w:p>
  </w:footnote>
  <w:footnote w:id="3">
    <w:p>
      <w:pPr>
        <w:pStyle w:val="21"/>
        <w:numPr>
          <w:ilvl w:val="0"/>
          <w:numId w:val="33"/>
        </w:numPr>
        <w:spacing w:line="240" w:lineRule="auto"/>
        <w:ind w:leftChars="0" w:firstLineChars="0"/>
        <w:rPr>
          <w:rFonts w:hAnsi="宋体"/>
        </w:rPr>
      </w:pPr>
      <w:r>
        <w:rPr>
          <w:rStyle w:val="33"/>
        </w:rPr>
        <w:footnoteRef/>
      </w:r>
      <w:r>
        <w:rPr>
          <w:rFonts w:hint="eastAsia" w:hAnsi="宋体"/>
        </w:rPr>
        <w:t>例如燃煤过程产生的二氧化碳排放。</w:t>
      </w:r>
    </w:p>
  </w:footnote>
  <w:footnote w:id="4">
    <w:p>
      <w:pPr>
        <w:pStyle w:val="21"/>
        <w:numPr>
          <w:ilvl w:val="0"/>
          <w:numId w:val="33"/>
        </w:numPr>
        <w:spacing w:line="240" w:lineRule="auto"/>
        <w:ind w:leftChars="0" w:firstLineChars="0"/>
      </w:pPr>
      <w:r>
        <w:rPr>
          <w:rStyle w:val="33"/>
        </w:rPr>
        <w:footnoteRef/>
      </w:r>
      <w:r>
        <w:rPr>
          <w:rFonts w:hint="eastAsia" w:hAnsi="宋体"/>
        </w:rPr>
        <w:t>该类设施，特别是耗电设施，只需填写主要设施即可，例如耗电量较小的照明设施可不填写。</w:t>
      </w:r>
    </w:p>
  </w:footnote>
  <w:footnote w:id="5">
    <w:p>
      <w:pPr>
        <w:pStyle w:val="21"/>
        <w:numPr>
          <w:ilvl w:val="0"/>
          <w:numId w:val="33"/>
        </w:numPr>
        <w:spacing w:line="240" w:lineRule="auto"/>
        <w:ind w:leftChars="0" w:firstLineChars="0"/>
        <w:rPr>
          <w:rFonts w:hAnsi="宋体"/>
        </w:rPr>
      </w:pPr>
      <w:r>
        <w:rPr>
          <w:rStyle w:val="33"/>
        </w:rPr>
        <w:footnoteRef/>
      </w:r>
      <w:r>
        <w:rPr>
          <w:rFonts w:hint="eastAsia" w:hAnsi="宋体"/>
        </w:rPr>
        <w:t>如果报告数据是由若干个参数通过一定的计算方法计算得出，需要填写计算公式以及计算公式中的每一个参数的获取方式。</w:t>
      </w:r>
    </w:p>
  </w:footnote>
  <w:footnote w:id="6">
    <w:p>
      <w:pPr>
        <w:pStyle w:val="21"/>
        <w:numPr>
          <w:ilvl w:val="0"/>
          <w:numId w:val="33"/>
        </w:numPr>
        <w:spacing w:line="240" w:lineRule="auto"/>
        <w:ind w:leftChars="0" w:firstLineChars="0"/>
        <w:rPr>
          <w:rFonts w:eastAsia="方正仿宋_GBK"/>
        </w:rPr>
      </w:pPr>
      <w:r>
        <w:rPr>
          <w:rStyle w:val="33"/>
        </w:rPr>
        <w:footnoteRef/>
      </w:r>
      <w:r>
        <w:rPr>
          <w:rFonts w:hint="eastAsia" w:hAnsi="宋体"/>
        </w:rPr>
        <w:t>填报时请列明具体的燃料名称，同一燃料品种仅需填报一次；如果有多个设施消耗同一种燃料，请在“数据的计算方法及获取方式”中对“消耗量”、“低位发热量”、“单位热值含碳量”、“含碳量”“碳氧化率”等参数进行详细描述，不同设施的同一燃料相关信息应分别列明。</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spacing w:after="0"/>
    </w:pPr>
    <w:r>
      <w:fldChar w:fldCharType="begin"/>
    </w:r>
    <w:r>
      <w:instrText xml:space="preserve"> STYLEREF  标准文件_文件编号  \* MERGEFORMAT </w:instrText>
    </w:r>
    <w:r>
      <w:fldChar w:fldCharType="separate"/>
    </w:r>
    <w:r>
      <w:t>GB/T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GB/T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spacing w:after="0"/>
    </w:pPr>
    <w:r>
      <mc:AlternateContent>
        <mc:Choice Requires="wps">
          <w:drawing>
            <wp:anchor distT="0" distB="0" distL="114300" distR="114300" simplePos="0" relativeHeight="251659264" behindDoc="0" locked="0" layoutInCell="1" allowOverlap="1">
              <wp:simplePos x="0" y="0"/>
              <wp:positionH relativeFrom="page">
                <wp:posOffset>9539605</wp:posOffset>
              </wp:positionH>
              <wp:positionV relativeFrom="page">
                <wp:posOffset>5694680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1"/>
                          </w:pPr>
                          <w:r>
                            <w:fldChar w:fldCharType="begin"/>
                          </w:r>
                          <w:r>
                            <w:instrText xml:space="preserve"> STYLEREF  标准文件_文件编号  \* MERGEFORMAT </w:instrText>
                          </w:r>
                          <w:r>
                            <w:fldChar w:fldCharType="separate"/>
                          </w:r>
                          <w:r>
                            <w:t>GB/T XXXXX—XXXX</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751.15pt;margin-top:448.4pt;height:144pt;width:144pt;mso-position-horizontal-relative:page;mso-position-vertical-relative:page;mso-wrap-style:none;z-index:251659264;v-text-anchor:bottom;mso-width-relative:page;mso-height-relative:page;" filled="f" stroked="f" coordsize="21600,21600" o:gfxdata="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3bxB3AAAAA4BAAAPAAAAAAAAAAEAIAAAACIAAABkcnMv&#10;ZG93bnJldi54bWxQSwECFAAUAAAACACHTuJAizQlhzgCAABnBAAADgAAAAAAAAABACAAAAArAQAA&#10;ZHJzL2Uyb0RvYy54bWxQSwUGAAAAAAYABgBZAQAA1QUAAAAA&#10;">
              <v:fill on="f" focussize="0,0"/>
              <v:stroke on="f" weight="0.5pt"/>
              <v:imagedata o:title=""/>
              <o:lock v:ext="edit" aspectratio="f"/>
              <v:textbox style="layout-flow:vertical-ideographic;mso-fit-shape-to-text:t;">
                <w:txbxContent>
                  <w:p>
                    <w:pPr>
                      <w:pStyle w:val="61"/>
                    </w:pPr>
                    <w:r>
                      <w:fldChar w:fldCharType="begin"/>
                    </w:r>
                    <w:r>
                      <w:instrText xml:space="preserve"> STYLEREF  标准文件_文件编号  \* MERGEFORMAT </w:instrText>
                    </w:r>
                    <w:r>
                      <w:fldChar w:fldCharType="separate"/>
                    </w:r>
                    <w:r>
                      <w:t>GB/T XXXXX—XXXX</w:t>
                    </w:r>
                    <w:r>
                      <w:fldChar w:fldCharType="end"/>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mc:AlternateContent>
        <mc:Choice Requires="wps">
          <w:drawing>
            <wp:anchor distT="0" distB="0" distL="114300" distR="114300" simplePos="0" relativeHeight="251662336"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2"/>
                          </w:pPr>
                          <w:r>
                            <w:fldChar w:fldCharType="begin"/>
                          </w:r>
                          <w:r>
                            <w:instrText xml:space="preserve"> STYLEREF  标准文件_文件编号 \* MERGEFORMAT </w:instrText>
                          </w:r>
                          <w:r>
                            <w:fldChar w:fldCharType="separate"/>
                          </w:r>
                          <w:r>
                            <w:t>GB/T XXXXX—XXXX</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765.35pt;margin-top:70.85pt;height:144pt;width:144pt;mso-position-horizontal-relative:page;mso-position-vertical-relative:page;mso-wrap-style:none;z-index:251662336;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si7HNkAAAANAQAADwAAAAAAAAABACAAAAAiAAAAZHJzL2Rvd25yZXYueG1sUEsB&#10;AhQAFAAAAAgAh07iQCrmw5stAgAAVwQAAA4AAAAAAAAAAQAgAAAAKAEAAGRycy9lMm9Eb2MueG1s&#10;UEsFBgAAAAAGAAYAWQEAAMcFAAAAAA==&#10;">
              <v:fill on="f" focussize="0,0"/>
              <v:stroke on="f" weight="0.5pt"/>
              <v:imagedata o:title=""/>
              <o:lock v:ext="edit" aspectratio="f"/>
              <v:textbox inset="0mm,0mm,0mm,0mm" style="layout-flow:vertical-ideographic;mso-fit-shape-to-text:t;">
                <w:txbxContent>
                  <w:p>
                    <w:pPr>
                      <w:pStyle w:val="62"/>
                    </w:pPr>
                    <w:r>
                      <w:fldChar w:fldCharType="begin"/>
                    </w:r>
                    <w:r>
                      <w:instrText xml:space="preserve"> STYLEREF  标准文件_文件编号 \* MERGEFORMAT </w:instrText>
                    </w:r>
                    <w:r>
                      <w:fldChar w:fldCharType="separate"/>
                    </w:r>
                    <w:r>
                      <w:t>GB/T XXXXX—XXXX</w:t>
                    </w:r>
                    <w:r>
                      <w:fldChar w:fldCharType="end"/>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spacing w:after="0"/>
    </w:pPr>
    <w:r>
      <w:fldChar w:fldCharType="begin"/>
    </w:r>
    <w:r>
      <w:instrText xml:space="preserve"> STYLEREF  标准文件_文件编号  \* MERGEFORMAT </w:instrText>
    </w:r>
    <w:r>
      <w:fldChar w:fldCharType="separate"/>
    </w:r>
    <w:r>
      <w:t>GB/T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GB/T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89DE7"/>
    <w:multiLevelType w:val="singleLevel"/>
    <w:tmpl w:val="ED889DE7"/>
    <w:lvl w:ilvl="0" w:tentative="0">
      <w:start w:val="1"/>
      <w:numFmt w:val="decimal"/>
      <w:suff w:val="space"/>
      <w:lvlText w:val="[%1]"/>
      <w:lvlJc w:val="left"/>
    </w:lvl>
  </w:abstractNum>
  <w:abstractNum w:abstractNumId="1">
    <w:nsid w:val="00000009"/>
    <w:multiLevelType w:val="multilevel"/>
    <w:tmpl w:val="00000009"/>
    <w:lvl w:ilvl="0" w:tentative="0">
      <w:start w:val="1"/>
      <w:numFmt w:val="decimal"/>
      <w:pStyle w:val="232"/>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231"/>
      <w:suff w:val="nothing"/>
      <w:lvlText w:val="%1.%2　"/>
      <w:lvlJc w:val="left"/>
      <w:pPr>
        <w:ind w:left="568" w:firstLine="0"/>
      </w:pPr>
      <w:rPr>
        <w:rFonts w:hint="eastAsia" w:ascii="黑体" w:hAnsi="Times New Roman" w:eastAsia="黑体" w:cs="Times New Roman"/>
        <w:b w:val="0"/>
        <w:bCs w:val="0"/>
        <w:i w:val="0"/>
        <w:iCs w:val="0"/>
        <w:caps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000000C"/>
    <w:multiLevelType w:val="multilevel"/>
    <w:tmpl w:val="0000000C"/>
    <w:lvl w:ilvl="0" w:tentative="0">
      <w:start w:val="1"/>
      <w:numFmt w:val="decimal"/>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
    <w:nsid w:val="0000000D"/>
    <w:multiLevelType w:val="multilevel"/>
    <w:tmpl w:val="0000000D"/>
    <w:lvl w:ilvl="0" w:tentative="0">
      <w:start w:val="5"/>
      <w:numFmt w:val="bullet"/>
      <w:lvlText w:val="−"/>
      <w:lvlJc w:val="left"/>
      <w:pPr>
        <w:ind w:left="630" w:hanging="420"/>
      </w:pPr>
      <w:rPr>
        <w:rFonts w:hint="default" w:ascii="Times New Roman" w:hAnsi="Times New Roman" w:eastAsia="微软雅黑"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0000011"/>
    <w:multiLevelType w:val="multilevel"/>
    <w:tmpl w:val="00000011"/>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0000019"/>
    <w:multiLevelType w:val="multilevel"/>
    <w:tmpl w:val="00000019"/>
    <w:lvl w:ilvl="0" w:tentative="0">
      <w:start w:val="1"/>
      <w:numFmt w:val="decimal"/>
      <w:lvlText w:val="%1."/>
      <w:lvlJc w:val="left"/>
      <w:pPr>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7">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3">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44C50F90"/>
    <w:multiLevelType w:val="multilevel"/>
    <w:tmpl w:val="44C50F90"/>
    <w:lvl w:ilvl="0" w:tentative="0">
      <w:start w:val="1"/>
      <w:numFmt w:val="lowerLetter"/>
      <w:pStyle w:val="174"/>
      <w:lvlText w:val="%1)"/>
      <w:lvlJc w:val="left"/>
      <w:pPr>
        <w:tabs>
          <w:tab w:val="left" w:pos="851"/>
        </w:tabs>
        <w:ind w:left="851" w:hanging="426"/>
      </w:pPr>
      <w:rPr>
        <w:rFonts w:hint="default" w:ascii="Times New Roman" w:hAnsi="Times New Roman" w:eastAsia="宋体" w:cs="Times New Roman"/>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default" w:ascii="Times New Roman" w:hAnsi="Times New Roman" w:eastAsia="黑体" w:cs="Times New Roman"/>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3B90061"/>
    <w:multiLevelType w:val="multilevel"/>
    <w:tmpl w:val="63B9006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9">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0">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pStyle w:val="105"/>
      <w:suff w:val="nothing"/>
      <w:lvlText w:val="%1%2.%3　"/>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pStyle w:val="94"/>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34"/>
  </w:num>
  <w:num w:numId="3">
    <w:abstractNumId w:val="11"/>
  </w:num>
  <w:num w:numId="4">
    <w:abstractNumId w:val="30"/>
  </w:num>
  <w:num w:numId="5">
    <w:abstractNumId w:val="24"/>
  </w:num>
  <w:num w:numId="6">
    <w:abstractNumId w:val="19"/>
  </w:num>
  <w:num w:numId="7">
    <w:abstractNumId w:val="14"/>
  </w:num>
  <w:num w:numId="8">
    <w:abstractNumId w:val="9"/>
  </w:num>
  <w:num w:numId="9">
    <w:abstractNumId w:val="15"/>
  </w:num>
  <w:num w:numId="10">
    <w:abstractNumId w:val="22"/>
  </w:num>
  <w:num w:numId="11">
    <w:abstractNumId w:val="32"/>
  </w:num>
  <w:num w:numId="12">
    <w:abstractNumId w:val="17"/>
  </w:num>
  <w:num w:numId="13">
    <w:abstractNumId w:val="18"/>
  </w:num>
  <w:num w:numId="14">
    <w:abstractNumId w:val="13"/>
  </w:num>
  <w:num w:numId="15">
    <w:abstractNumId w:val="25"/>
  </w:num>
  <w:num w:numId="16">
    <w:abstractNumId w:val="28"/>
  </w:num>
  <w:num w:numId="17">
    <w:abstractNumId w:val="23"/>
  </w:num>
  <w:num w:numId="18">
    <w:abstractNumId w:val="36"/>
  </w:num>
  <w:num w:numId="19">
    <w:abstractNumId w:val="21"/>
  </w:num>
  <w:num w:numId="20">
    <w:abstractNumId w:val="7"/>
  </w:num>
  <w:num w:numId="21">
    <w:abstractNumId w:val="16"/>
  </w:num>
  <w:num w:numId="22">
    <w:abstractNumId w:val="37"/>
  </w:num>
  <w:num w:numId="23">
    <w:abstractNumId w:val="27"/>
  </w:num>
  <w:num w:numId="24">
    <w:abstractNumId w:val="12"/>
  </w:num>
  <w:num w:numId="25">
    <w:abstractNumId w:val="33"/>
  </w:num>
  <w:num w:numId="26">
    <w:abstractNumId w:val="35"/>
  </w:num>
  <w:num w:numId="27">
    <w:abstractNumId w:val="8"/>
  </w:num>
  <w:num w:numId="28">
    <w:abstractNumId w:val="10"/>
  </w:num>
  <w:num w:numId="29">
    <w:abstractNumId w:val="20"/>
  </w:num>
  <w:num w:numId="30">
    <w:abstractNumId w:val="31"/>
  </w:num>
  <w:num w:numId="31">
    <w:abstractNumId w:val="29"/>
  </w:num>
  <w:num w:numId="32">
    <w:abstractNumId w:val="1"/>
  </w:num>
  <w:num w:numId="33">
    <w:abstractNumId w:val="2"/>
  </w:num>
  <w:num w:numId="34">
    <w:abstractNumId w:val="26"/>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0">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1" w:cryptProviderType="rsaAES" w:cryptAlgorithmClass="hash" w:cryptAlgorithmType="typeAny" w:cryptAlgorithmSid="14" w:cryptSpinCount="100000" w:hash="8NTpQoTp/aUdigFfwACq06+YLOkRxTz29d45Z6LcARPkLmD8p7bwZ64DZVckwa3r9Fa1KnhNgiH8rr3VlGfRcQ==" w:salt="u/JioW2miYjiQJTTjh17z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14"/>
    <w:footnote w:id="1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5NDVhYmZmYjZhZTkyMDdkNmQxMmE5MDc4NjM4Y2QifQ=="/>
  </w:docVars>
  <w:rsids>
    <w:rsidRoot w:val="00046A87"/>
    <w:rsid w:val="0000040A"/>
    <w:rsid w:val="00000A94"/>
    <w:rsid w:val="00001972"/>
    <w:rsid w:val="00001D9A"/>
    <w:rsid w:val="00005D29"/>
    <w:rsid w:val="0000727F"/>
    <w:rsid w:val="00007B3A"/>
    <w:rsid w:val="000107E0"/>
    <w:rsid w:val="00011FDE"/>
    <w:rsid w:val="00012FFD"/>
    <w:rsid w:val="00014162"/>
    <w:rsid w:val="00014340"/>
    <w:rsid w:val="000151BB"/>
    <w:rsid w:val="00016A9C"/>
    <w:rsid w:val="00016CFF"/>
    <w:rsid w:val="00022184"/>
    <w:rsid w:val="00022762"/>
    <w:rsid w:val="000238E0"/>
    <w:rsid w:val="000249DB"/>
    <w:rsid w:val="0002595E"/>
    <w:rsid w:val="000303C3"/>
    <w:rsid w:val="000321EE"/>
    <w:rsid w:val="000331D3"/>
    <w:rsid w:val="000336F3"/>
    <w:rsid w:val="000346A5"/>
    <w:rsid w:val="000359C3"/>
    <w:rsid w:val="00035A7D"/>
    <w:rsid w:val="00035B8E"/>
    <w:rsid w:val="0004249A"/>
    <w:rsid w:val="00043282"/>
    <w:rsid w:val="00044286"/>
    <w:rsid w:val="00044462"/>
    <w:rsid w:val="00046A87"/>
    <w:rsid w:val="00046C27"/>
    <w:rsid w:val="00047F28"/>
    <w:rsid w:val="000503AA"/>
    <w:rsid w:val="000506A1"/>
    <w:rsid w:val="0005075C"/>
    <w:rsid w:val="00050A2C"/>
    <w:rsid w:val="000513C0"/>
    <w:rsid w:val="000515DD"/>
    <w:rsid w:val="0005265A"/>
    <w:rsid w:val="000539DD"/>
    <w:rsid w:val="00053BD3"/>
    <w:rsid w:val="000556ED"/>
    <w:rsid w:val="00055FE2"/>
    <w:rsid w:val="0005616F"/>
    <w:rsid w:val="00060C2E"/>
    <w:rsid w:val="00061033"/>
    <w:rsid w:val="000619E9"/>
    <w:rsid w:val="000622D4"/>
    <w:rsid w:val="0006357D"/>
    <w:rsid w:val="00063588"/>
    <w:rsid w:val="00067F1E"/>
    <w:rsid w:val="00071CC0"/>
    <w:rsid w:val="00073C8C"/>
    <w:rsid w:val="00076D6A"/>
    <w:rsid w:val="00077B64"/>
    <w:rsid w:val="000804DE"/>
    <w:rsid w:val="0008098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5845"/>
    <w:rsid w:val="000A70E3"/>
    <w:rsid w:val="000A7311"/>
    <w:rsid w:val="000B060F"/>
    <w:rsid w:val="000B1592"/>
    <w:rsid w:val="000B1FF2"/>
    <w:rsid w:val="000B3CDA"/>
    <w:rsid w:val="000B3EA4"/>
    <w:rsid w:val="000B6A0B"/>
    <w:rsid w:val="000C0B49"/>
    <w:rsid w:val="000C0F6C"/>
    <w:rsid w:val="000C11DB"/>
    <w:rsid w:val="000C2F04"/>
    <w:rsid w:val="000C2FBD"/>
    <w:rsid w:val="000C3E10"/>
    <w:rsid w:val="000C4B41"/>
    <w:rsid w:val="000C57D6"/>
    <w:rsid w:val="000C7666"/>
    <w:rsid w:val="000D0A9C"/>
    <w:rsid w:val="000D13E9"/>
    <w:rsid w:val="000D1795"/>
    <w:rsid w:val="000D329A"/>
    <w:rsid w:val="000D4B9C"/>
    <w:rsid w:val="000D4EB6"/>
    <w:rsid w:val="000D50E5"/>
    <w:rsid w:val="000D753B"/>
    <w:rsid w:val="000D79EE"/>
    <w:rsid w:val="000E0087"/>
    <w:rsid w:val="000E218B"/>
    <w:rsid w:val="000E3D8D"/>
    <w:rsid w:val="000E4C9E"/>
    <w:rsid w:val="000E6FD7"/>
    <w:rsid w:val="000F06E1"/>
    <w:rsid w:val="000F0E3C"/>
    <w:rsid w:val="000F19D5"/>
    <w:rsid w:val="000F2E41"/>
    <w:rsid w:val="000F3631"/>
    <w:rsid w:val="000F4AEA"/>
    <w:rsid w:val="000F6501"/>
    <w:rsid w:val="000F67E9"/>
    <w:rsid w:val="001011D4"/>
    <w:rsid w:val="001016A7"/>
    <w:rsid w:val="001024ED"/>
    <w:rsid w:val="00103ADB"/>
    <w:rsid w:val="00104926"/>
    <w:rsid w:val="00104C1A"/>
    <w:rsid w:val="001102A8"/>
    <w:rsid w:val="00113B1E"/>
    <w:rsid w:val="00116A83"/>
    <w:rsid w:val="0011711C"/>
    <w:rsid w:val="001214F1"/>
    <w:rsid w:val="00124E4F"/>
    <w:rsid w:val="001260B7"/>
    <w:rsid w:val="001265CB"/>
    <w:rsid w:val="00127B22"/>
    <w:rsid w:val="00127BCD"/>
    <w:rsid w:val="001321C6"/>
    <w:rsid w:val="001325C4"/>
    <w:rsid w:val="00133010"/>
    <w:rsid w:val="001331E1"/>
    <w:rsid w:val="001337A1"/>
    <w:rsid w:val="001338EE"/>
    <w:rsid w:val="00133AAE"/>
    <w:rsid w:val="00135323"/>
    <w:rsid w:val="001356C4"/>
    <w:rsid w:val="00141114"/>
    <w:rsid w:val="00142969"/>
    <w:rsid w:val="00142C17"/>
    <w:rsid w:val="00144F27"/>
    <w:rsid w:val="001457E7"/>
    <w:rsid w:val="00145D9D"/>
    <w:rsid w:val="00146388"/>
    <w:rsid w:val="00146A1B"/>
    <w:rsid w:val="001529E5"/>
    <w:rsid w:val="0015348A"/>
    <w:rsid w:val="00153C7E"/>
    <w:rsid w:val="00156B25"/>
    <w:rsid w:val="00156E1A"/>
    <w:rsid w:val="00157B55"/>
    <w:rsid w:val="00161C50"/>
    <w:rsid w:val="001642FA"/>
    <w:rsid w:val="001649EB"/>
    <w:rsid w:val="00164BAF"/>
    <w:rsid w:val="00164FA8"/>
    <w:rsid w:val="00165065"/>
    <w:rsid w:val="00165434"/>
    <w:rsid w:val="0016580B"/>
    <w:rsid w:val="00165F49"/>
    <w:rsid w:val="00166B88"/>
    <w:rsid w:val="0016770A"/>
    <w:rsid w:val="00170804"/>
    <w:rsid w:val="001708E9"/>
    <w:rsid w:val="00171F8D"/>
    <w:rsid w:val="0017340B"/>
    <w:rsid w:val="00173FB1"/>
    <w:rsid w:val="00174FB1"/>
    <w:rsid w:val="00176DFD"/>
    <w:rsid w:val="001803BA"/>
    <w:rsid w:val="001850C8"/>
    <w:rsid w:val="001852C9"/>
    <w:rsid w:val="00185FCF"/>
    <w:rsid w:val="00187FFC"/>
    <w:rsid w:val="00190087"/>
    <w:rsid w:val="001913C4"/>
    <w:rsid w:val="0019348F"/>
    <w:rsid w:val="00193A07"/>
    <w:rsid w:val="00194C95"/>
    <w:rsid w:val="00195C34"/>
    <w:rsid w:val="001A1A53"/>
    <w:rsid w:val="001A234A"/>
    <w:rsid w:val="001B06E8"/>
    <w:rsid w:val="001B4086"/>
    <w:rsid w:val="001B4FEB"/>
    <w:rsid w:val="001B71D0"/>
    <w:rsid w:val="001B71EE"/>
    <w:rsid w:val="001C04A8"/>
    <w:rsid w:val="001C2C03"/>
    <w:rsid w:val="001C42F7"/>
    <w:rsid w:val="001C49E5"/>
    <w:rsid w:val="001C680C"/>
    <w:rsid w:val="001C7334"/>
    <w:rsid w:val="001C7FEA"/>
    <w:rsid w:val="001D0499"/>
    <w:rsid w:val="001D0BBE"/>
    <w:rsid w:val="001D0ED4"/>
    <w:rsid w:val="001D1C53"/>
    <w:rsid w:val="001D212F"/>
    <w:rsid w:val="001D29D7"/>
    <w:rsid w:val="001D2DE7"/>
    <w:rsid w:val="001D411C"/>
    <w:rsid w:val="001E052E"/>
    <w:rsid w:val="001E1B6A"/>
    <w:rsid w:val="001E2484"/>
    <w:rsid w:val="001E3A0C"/>
    <w:rsid w:val="001E3CC4"/>
    <w:rsid w:val="001E4882"/>
    <w:rsid w:val="001E73AB"/>
    <w:rsid w:val="001F092D"/>
    <w:rsid w:val="001F143A"/>
    <w:rsid w:val="001F1605"/>
    <w:rsid w:val="001F20D1"/>
    <w:rsid w:val="001F2508"/>
    <w:rsid w:val="001F4816"/>
    <w:rsid w:val="001F6100"/>
    <w:rsid w:val="001F69B4"/>
    <w:rsid w:val="001F77C7"/>
    <w:rsid w:val="001F7C08"/>
    <w:rsid w:val="001F7FE1"/>
    <w:rsid w:val="00200183"/>
    <w:rsid w:val="0020107D"/>
    <w:rsid w:val="00202AA4"/>
    <w:rsid w:val="002031F7"/>
    <w:rsid w:val="002040E6"/>
    <w:rsid w:val="0020527B"/>
    <w:rsid w:val="00206393"/>
    <w:rsid w:val="00207692"/>
    <w:rsid w:val="00210B15"/>
    <w:rsid w:val="0021134B"/>
    <w:rsid w:val="002142EA"/>
    <w:rsid w:val="00215DF2"/>
    <w:rsid w:val="002204BB"/>
    <w:rsid w:val="00221B79"/>
    <w:rsid w:val="00221C6B"/>
    <w:rsid w:val="002253A1"/>
    <w:rsid w:val="00225CF8"/>
    <w:rsid w:val="002267C2"/>
    <w:rsid w:val="0022794E"/>
    <w:rsid w:val="00230D03"/>
    <w:rsid w:val="00233D64"/>
    <w:rsid w:val="0023482A"/>
    <w:rsid w:val="002359CB"/>
    <w:rsid w:val="00240C32"/>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72D6A"/>
    <w:rsid w:val="0027487E"/>
    <w:rsid w:val="002757F6"/>
    <w:rsid w:val="00281BB8"/>
    <w:rsid w:val="00281E9E"/>
    <w:rsid w:val="00282DF2"/>
    <w:rsid w:val="00283E50"/>
    <w:rsid w:val="00285170"/>
    <w:rsid w:val="00285361"/>
    <w:rsid w:val="00292D60"/>
    <w:rsid w:val="00294D34"/>
    <w:rsid w:val="00294E3B"/>
    <w:rsid w:val="002957E9"/>
    <w:rsid w:val="00296193"/>
    <w:rsid w:val="00296C66"/>
    <w:rsid w:val="00296EBE"/>
    <w:rsid w:val="002974E3"/>
    <w:rsid w:val="002A084B"/>
    <w:rsid w:val="002A1260"/>
    <w:rsid w:val="002A1589"/>
    <w:rsid w:val="002A1608"/>
    <w:rsid w:val="002A25DC"/>
    <w:rsid w:val="002A3AAB"/>
    <w:rsid w:val="002A4CEA"/>
    <w:rsid w:val="002A5457"/>
    <w:rsid w:val="002A5977"/>
    <w:rsid w:val="002A5A13"/>
    <w:rsid w:val="002A72CC"/>
    <w:rsid w:val="002A7F44"/>
    <w:rsid w:val="002B0C40"/>
    <w:rsid w:val="002B1966"/>
    <w:rsid w:val="002B4508"/>
    <w:rsid w:val="002B5779"/>
    <w:rsid w:val="002B7332"/>
    <w:rsid w:val="002B7F51"/>
    <w:rsid w:val="002C09E7"/>
    <w:rsid w:val="002C1B28"/>
    <w:rsid w:val="002C3F07"/>
    <w:rsid w:val="002C5278"/>
    <w:rsid w:val="002C5B65"/>
    <w:rsid w:val="002C68BF"/>
    <w:rsid w:val="002C7713"/>
    <w:rsid w:val="002C7EBB"/>
    <w:rsid w:val="002D06C1"/>
    <w:rsid w:val="002D07B3"/>
    <w:rsid w:val="002D42B5"/>
    <w:rsid w:val="002D4F1A"/>
    <w:rsid w:val="002D69C1"/>
    <w:rsid w:val="002D6EC6"/>
    <w:rsid w:val="002D79AC"/>
    <w:rsid w:val="002E039D"/>
    <w:rsid w:val="002E3CBF"/>
    <w:rsid w:val="002E4D5A"/>
    <w:rsid w:val="002E5303"/>
    <w:rsid w:val="002E6326"/>
    <w:rsid w:val="002E6423"/>
    <w:rsid w:val="002F30E0"/>
    <w:rsid w:val="002F35E4"/>
    <w:rsid w:val="002F3730"/>
    <w:rsid w:val="002F38E1"/>
    <w:rsid w:val="002F7AF6"/>
    <w:rsid w:val="00300607"/>
    <w:rsid w:val="00300E63"/>
    <w:rsid w:val="00302F5F"/>
    <w:rsid w:val="0030405A"/>
    <w:rsid w:val="0030441D"/>
    <w:rsid w:val="00306063"/>
    <w:rsid w:val="0030752D"/>
    <w:rsid w:val="00313B85"/>
    <w:rsid w:val="00314BDF"/>
    <w:rsid w:val="00317988"/>
    <w:rsid w:val="003221B4"/>
    <w:rsid w:val="00322E62"/>
    <w:rsid w:val="00324EDD"/>
    <w:rsid w:val="00335DB8"/>
    <w:rsid w:val="00336C64"/>
    <w:rsid w:val="00337162"/>
    <w:rsid w:val="0034194F"/>
    <w:rsid w:val="00344605"/>
    <w:rsid w:val="003474AA"/>
    <w:rsid w:val="00350D1D"/>
    <w:rsid w:val="003527E6"/>
    <w:rsid w:val="00352C83"/>
    <w:rsid w:val="00360695"/>
    <w:rsid w:val="003615D2"/>
    <w:rsid w:val="0036429C"/>
    <w:rsid w:val="00364A53"/>
    <w:rsid w:val="003654CB"/>
    <w:rsid w:val="00365F86"/>
    <w:rsid w:val="00365F87"/>
    <w:rsid w:val="003705F4"/>
    <w:rsid w:val="00370D58"/>
    <w:rsid w:val="00371316"/>
    <w:rsid w:val="00376713"/>
    <w:rsid w:val="00376F06"/>
    <w:rsid w:val="00381815"/>
    <w:rsid w:val="003819AF"/>
    <w:rsid w:val="003820E9"/>
    <w:rsid w:val="00382DE7"/>
    <w:rsid w:val="00384FFC"/>
    <w:rsid w:val="003872FC"/>
    <w:rsid w:val="00387ADC"/>
    <w:rsid w:val="00390020"/>
    <w:rsid w:val="003903D6"/>
    <w:rsid w:val="003906E5"/>
    <w:rsid w:val="00390EE6"/>
    <w:rsid w:val="0039118F"/>
    <w:rsid w:val="00391207"/>
    <w:rsid w:val="00392AD7"/>
    <w:rsid w:val="00392B2B"/>
    <w:rsid w:val="00392C1E"/>
    <w:rsid w:val="003938D9"/>
    <w:rsid w:val="00394376"/>
    <w:rsid w:val="003943FF"/>
    <w:rsid w:val="00394AF2"/>
    <w:rsid w:val="003974EB"/>
    <w:rsid w:val="00397CC5"/>
    <w:rsid w:val="003A1582"/>
    <w:rsid w:val="003A3A51"/>
    <w:rsid w:val="003A4077"/>
    <w:rsid w:val="003B09AD"/>
    <w:rsid w:val="003B1F18"/>
    <w:rsid w:val="003B5657"/>
    <w:rsid w:val="003B5BF0"/>
    <w:rsid w:val="003B60BF"/>
    <w:rsid w:val="003B6628"/>
    <w:rsid w:val="003B6BE3"/>
    <w:rsid w:val="003C010C"/>
    <w:rsid w:val="003C0A6C"/>
    <w:rsid w:val="003C5A43"/>
    <w:rsid w:val="003C5F09"/>
    <w:rsid w:val="003D0519"/>
    <w:rsid w:val="003D0FF6"/>
    <w:rsid w:val="003D262C"/>
    <w:rsid w:val="003D5CA9"/>
    <w:rsid w:val="003D6D61"/>
    <w:rsid w:val="003E091D"/>
    <w:rsid w:val="003E1C53"/>
    <w:rsid w:val="003E2A69"/>
    <w:rsid w:val="003E2D49"/>
    <w:rsid w:val="003E2FD4"/>
    <w:rsid w:val="003E44D9"/>
    <w:rsid w:val="003E49F6"/>
    <w:rsid w:val="003F0841"/>
    <w:rsid w:val="003F23D3"/>
    <w:rsid w:val="003F2460"/>
    <w:rsid w:val="003F3F08"/>
    <w:rsid w:val="003F49F1"/>
    <w:rsid w:val="003F5913"/>
    <w:rsid w:val="003F6272"/>
    <w:rsid w:val="00400E72"/>
    <w:rsid w:val="00401400"/>
    <w:rsid w:val="00404869"/>
    <w:rsid w:val="00405884"/>
    <w:rsid w:val="00407D39"/>
    <w:rsid w:val="00407F42"/>
    <w:rsid w:val="0041477A"/>
    <w:rsid w:val="0041577F"/>
    <w:rsid w:val="004167A3"/>
    <w:rsid w:val="00417245"/>
    <w:rsid w:val="00420C2B"/>
    <w:rsid w:val="00432DAA"/>
    <w:rsid w:val="00434305"/>
    <w:rsid w:val="004347D3"/>
    <w:rsid w:val="00435DF7"/>
    <w:rsid w:val="00436D03"/>
    <w:rsid w:val="0044083F"/>
    <w:rsid w:val="00441AE7"/>
    <w:rsid w:val="004452B6"/>
    <w:rsid w:val="00445574"/>
    <w:rsid w:val="004467FB"/>
    <w:rsid w:val="0045138E"/>
    <w:rsid w:val="00452D6B"/>
    <w:rsid w:val="00454484"/>
    <w:rsid w:val="0045517B"/>
    <w:rsid w:val="00463B77"/>
    <w:rsid w:val="00463C7B"/>
    <w:rsid w:val="004644A6"/>
    <w:rsid w:val="0046485F"/>
    <w:rsid w:val="004659BD"/>
    <w:rsid w:val="0046610E"/>
    <w:rsid w:val="00470775"/>
    <w:rsid w:val="004746B1"/>
    <w:rsid w:val="0047583F"/>
    <w:rsid w:val="00475E40"/>
    <w:rsid w:val="00482FF9"/>
    <w:rsid w:val="004845A7"/>
    <w:rsid w:val="00484936"/>
    <w:rsid w:val="00485C89"/>
    <w:rsid w:val="00486BE3"/>
    <w:rsid w:val="004905E4"/>
    <w:rsid w:val="00490A89"/>
    <w:rsid w:val="00490AB4"/>
    <w:rsid w:val="004925BF"/>
    <w:rsid w:val="00492F02"/>
    <w:rsid w:val="004939AE"/>
    <w:rsid w:val="004946C7"/>
    <w:rsid w:val="004A12DF"/>
    <w:rsid w:val="004A1BA8"/>
    <w:rsid w:val="004A2918"/>
    <w:rsid w:val="004A4B57"/>
    <w:rsid w:val="004A63FA"/>
    <w:rsid w:val="004B066A"/>
    <w:rsid w:val="004B2701"/>
    <w:rsid w:val="004B2E1B"/>
    <w:rsid w:val="004B3E93"/>
    <w:rsid w:val="004C1FBC"/>
    <w:rsid w:val="004C20D3"/>
    <w:rsid w:val="004C3F1D"/>
    <w:rsid w:val="004C458D"/>
    <w:rsid w:val="004C7556"/>
    <w:rsid w:val="004C7E9D"/>
    <w:rsid w:val="004C7F67"/>
    <w:rsid w:val="004D076D"/>
    <w:rsid w:val="004D0EF1"/>
    <w:rsid w:val="004D2253"/>
    <w:rsid w:val="004D4406"/>
    <w:rsid w:val="004D7C42"/>
    <w:rsid w:val="004E0465"/>
    <w:rsid w:val="004E127B"/>
    <w:rsid w:val="004E1C0A"/>
    <w:rsid w:val="004E2C3B"/>
    <w:rsid w:val="004E30C5"/>
    <w:rsid w:val="004E4AA5"/>
    <w:rsid w:val="004E4AEE"/>
    <w:rsid w:val="004E59E3"/>
    <w:rsid w:val="004E67C0"/>
    <w:rsid w:val="004F202C"/>
    <w:rsid w:val="004F391A"/>
    <w:rsid w:val="004F3CFB"/>
    <w:rsid w:val="004F5889"/>
    <w:rsid w:val="004F611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56FB"/>
    <w:rsid w:val="00516088"/>
    <w:rsid w:val="00516B0B"/>
    <w:rsid w:val="00517C06"/>
    <w:rsid w:val="005220EC"/>
    <w:rsid w:val="00522ADD"/>
    <w:rsid w:val="00523F95"/>
    <w:rsid w:val="00524D65"/>
    <w:rsid w:val="00525B16"/>
    <w:rsid w:val="00532AD4"/>
    <w:rsid w:val="00533D04"/>
    <w:rsid w:val="00534804"/>
    <w:rsid w:val="00534BDF"/>
    <w:rsid w:val="005354EA"/>
    <w:rsid w:val="005357AD"/>
    <w:rsid w:val="00535EC4"/>
    <w:rsid w:val="00535ED9"/>
    <w:rsid w:val="0053692B"/>
    <w:rsid w:val="00541853"/>
    <w:rsid w:val="00543BDA"/>
    <w:rsid w:val="005441CC"/>
    <w:rsid w:val="00544633"/>
    <w:rsid w:val="005479DA"/>
    <w:rsid w:val="00547BCC"/>
    <w:rsid w:val="0055013B"/>
    <w:rsid w:val="00551F6F"/>
    <w:rsid w:val="00552F32"/>
    <w:rsid w:val="00555044"/>
    <w:rsid w:val="00560BC9"/>
    <w:rsid w:val="00561475"/>
    <w:rsid w:val="0056487B"/>
    <w:rsid w:val="00564FB9"/>
    <w:rsid w:val="0056688A"/>
    <w:rsid w:val="00567276"/>
    <w:rsid w:val="00567D51"/>
    <w:rsid w:val="00573D9E"/>
    <w:rsid w:val="0057625E"/>
    <w:rsid w:val="005801E3"/>
    <w:rsid w:val="00581802"/>
    <w:rsid w:val="005819F2"/>
    <w:rsid w:val="00582A4A"/>
    <w:rsid w:val="005836A8"/>
    <w:rsid w:val="00584262"/>
    <w:rsid w:val="00586063"/>
    <w:rsid w:val="00586630"/>
    <w:rsid w:val="00587ADD"/>
    <w:rsid w:val="005937D8"/>
    <w:rsid w:val="00596160"/>
    <w:rsid w:val="005966E2"/>
    <w:rsid w:val="00597007"/>
    <w:rsid w:val="00597E05"/>
    <w:rsid w:val="005A071F"/>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769"/>
    <w:rsid w:val="005D0C75"/>
    <w:rsid w:val="005D4171"/>
    <w:rsid w:val="005D6A95"/>
    <w:rsid w:val="005D6B2C"/>
    <w:rsid w:val="005D6D9C"/>
    <w:rsid w:val="005E2335"/>
    <w:rsid w:val="005E34CA"/>
    <w:rsid w:val="005E3C18"/>
    <w:rsid w:val="005E7881"/>
    <w:rsid w:val="005E78E0"/>
    <w:rsid w:val="005F0D9C"/>
    <w:rsid w:val="005F284E"/>
    <w:rsid w:val="005F65BA"/>
    <w:rsid w:val="005F67D3"/>
    <w:rsid w:val="005F7894"/>
    <w:rsid w:val="006002B2"/>
    <w:rsid w:val="006015CE"/>
    <w:rsid w:val="006031FB"/>
    <w:rsid w:val="00604784"/>
    <w:rsid w:val="00604ADB"/>
    <w:rsid w:val="00606419"/>
    <w:rsid w:val="00607D29"/>
    <w:rsid w:val="00611437"/>
    <w:rsid w:val="00612952"/>
    <w:rsid w:val="00612D7D"/>
    <w:rsid w:val="006138B9"/>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075D"/>
    <w:rsid w:val="00641A1F"/>
    <w:rsid w:val="00645904"/>
    <w:rsid w:val="006515C5"/>
    <w:rsid w:val="00651ACB"/>
    <w:rsid w:val="00651C47"/>
    <w:rsid w:val="00652AB2"/>
    <w:rsid w:val="00654EC0"/>
    <w:rsid w:val="0065525B"/>
    <w:rsid w:val="00655D4F"/>
    <w:rsid w:val="006640E5"/>
    <w:rsid w:val="006646F1"/>
    <w:rsid w:val="00664929"/>
    <w:rsid w:val="00664F62"/>
    <w:rsid w:val="006655E1"/>
    <w:rsid w:val="00672060"/>
    <w:rsid w:val="00672BFD"/>
    <w:rsid w:val="00676BD5"/>
    <w:rsid w:val="006770F4"/>
    <w:rsid w:val="00677A84"/>
    <w:rsid w:val="0068026D"/>
    <w:rsid w:val="00680A27"/>
    <w:rsid w:val="006816A4"/>
    <w:rsid w:val="006819B8"/>
    <w:rsid w:val="006840A6"/>
    <w:rsid w:val="006850CD"/>
    <w:rsid w:val="0068591B"/>
    <w:rsid w:val="00685AAB"/>
    <w:rsid w:val="00687A44"/>
    <w:rsid w:val="00690ED1"/>
    <w:rsid w:val="00692F9A"/>
    <w:rsid w:val="00697A80"/>
    <w:rsid w:val="006A07AA"/>
    <w:rsid w:val="006A25E5"/>
    <w:rsid w:val="006A2B46"/>
    <w:rsid w:val="006A336D"/>
    <w:rsid w:val="006A37B9"/>
    <w:rsid w:val="006A3FAA"/>
    <w:rsid w:val="006B07A8"/>
    <w:rsid w:val="006B2672"/>
    <w:rsid w:val="006B54BF"/>
    <w:rsid w:val="006B5F42"/>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12C"/>
    <w:rsid w:val="006E677D"/>
    <w:rsid w:val="006F03A8"/>
    <w:rsid w:val="006F2ACA"/>
    <w:rsid w:val="006F2ADC"/>
    <w:rsid w:val="006F2BFE"/>
    <w:rsid w:val="006F31E9"/>
    <w:rsid w:val="006F4983"/>
    <w:rsid w:val="006F55B1"/>
    <w:rsid w:val="006F6284"/>
    <w:rsid w:val="007002C5"/>
    <w:rsid w:val="00704387"/>
    <w:rsid w:val="00707669"/>
    <w:rsid w:val="00711CBA"/>
    <w:rsid w:val="00711FB5"/>
    <w:rsid w:val="00712A01"/>
    <w:rsid w:val="00714F58"/>
    <w:rsid w:val="007156BF"/>
    <w:rsid w:val="00722FBF"/>
    <w:rsid w:val="00722FC2"/>
    <w:rsid w:val="00725389"/>
    <w:rsid w:val="00725949"/>
    <w:rsid w:val="0072791B"/>
    <w:rsid w:val="00727FA2"/>
    <w:rsid w:val="007300E2"/>
    <w:rsid w:val="007322D9"/>
    <w:rsid w:val="00732B63"/>
    <w:rsid w:val="00732BC0"/>
    <w:rsid w:val="007350D0"/>
    <w:rsid w:val="0073720F"/>
    <w:rsid w:val="00737796"/>
    <w:rsid w:val="0074165C"/>
    <w:rsid w:val="00741F68"/>
    <w:rsid w:val="007432CA"/>
    <w:rsid w:val="007439EB"/>
    <w:rsid w:val="00743CB4"/>
    <w:rsid w:val="00743F0A"/>
    <w:rsid w:val="007444E8"/>
    <w:rsid w:val="0074548E"/>
    <w:rsid w:val="00745773"/>
    <w:rsid w:val="00746800"/>
    <w:rsid w:val="007501A8"/>
    <w:rsid w:val="00750EE1"/>
    <w:rsid w:val="00752B4D"/>
    <w:rsid w:val="007551B4"/>
    <w:rsid w:val="00755402"/>
    <w:rsid w:val="00756B26"/>
    <w:rsid w:val="00756EDF"/>
    <w:rsid w:val="00756F6B"/>
    <w:rsid w:val="00757532"/>
    <w:rsid w:val="007609A2"/>
    <w:rsid w:val="0076483E"/>
    <w:rsid w:val="00765C43"/>
    <w:rsid w:val="00765EFB"/>
    <w:rsid w:val="007671CA"/>
    <w:rsid w:val="00767667"/>
    <w:rsid w:val="00767C61"/>
    <w:rsid w:val="0077008A"/>
    <w:rsid w:val="00772E6A"/>
    <w:rsid w:val="0077358B"/>
    <w:rsid w:val="00773C1F"/>
    <w:rsid w:val="00774DA4"/>
    <w:rsid w:val="00776599"/>
    <w:rsid w:val="0078114B"/>
    <w:rsid w:val="00781DD2"/>
    <w:rsid w:val="00783ECF"/>
    <w:rsid w:val="0078413A"/>
    <w:rsid w:val="00790CA3"/>
    <w:rsid w:val="007952F5"/>
    <w:rsid w:val="00795587"/>
    <w:rsid w:val="007959E8"/>
    <w:rsid w:val="00795E9C"/>
    <w:rsid w:val="007A0289"/>
    <w:rsid w:val="007A0521"/>
    <w:rsid w:val="007A061E"/>
    <w:rsid w:val="007A0D5E"/>
    <w:rsid w:val="007A2E12"/>
    <w:rsid w:val="007A3475"/>
    <w:rsid w:val="007A41C8"/>
    <w:rsid w:val="007A4850"/>
    <w:rsid w:val="007A54CE"/>
    <w:rsid w:val="007A7FFA"/>
    <w:rsid w:val="007B04EB"/>
    <w:rsid w:val="007B0685"/>
    <w:rsid w:val="007B0D4F"/>
    <w:rsid w:val="007B5A3D"/>
    <w:rsid w:val="007B5B95"/>
    <w:rsid w:val="007B68EA"/>
    <w:rsid w:val="007C19E8"/>
    <w:rsid w:val="007C2D89"/>
    <w:rsid w:val="007C4593"/>
    <w:rsid w:val="007C5309"/>
    <w:rsid w:val="007C6069"/>
    <w:rsid w:val="007D06C4"/>
    <w:rsid w:val="007D1352"/>
    <w:rsid w:val="007D20A3"/>
    <w:rsid w:val="007D2508"/>
    <w:rsid w:val="007D346A"/>
    <w:rsid w:val="007D6518"/>
    <w:rsid w:val="007D76BD"/>
    <w:rsid w:val="007E0BF1"/>
    <w:rsid w:val="007E1459"/>
    <w:rsid w:val="007F0ED8"/>
    <w:rsid w:val="007F0F63"/>
    <w:rsid w:val="007F40E8"/>
    <w:rsid w:val="007F478F"/>
    <w:rsid w:val="007F4A81"/>
    <w:rsid w:val="007F4E76"/>
    <w:rsid w:val="007F6AC6"/>
    <w:rsid w:val="007F75CE"/>
    <w:rsid w:val="008013A4"/>
    <w:rsid w:val="008027CE"/>
    <w:rsid w:val="00802F42"/>
    <w:rsid w:val="00804383"/>
    <w:rsid w:val="00804BB7"/>
    <w:rsid w:val="00810257"/>
    <w:rsid w:val="008104F5"/>
    <w:rsid w:val="00811072"/>
    <w:rsid w:val="00811369"/>
    <w:rsid w:val="00812287"/>
    <w:rsid w:val="00814E50"/>
    <w:rsid w:val="00815419"/>
    <w:rsid w:val="008163C8"/>
    <w:rsid w:val="00816BA0"/>
    <w:rsid w:val="00817325"/>
    <w:rsid w:val="008209E6"/>
    <w:rsid w:val="00823303"/>
    <w:rsid w:val="008233B2"/>
    <w:rsid w:val="00823A9F"/>
    <w:rsid w:val="00823C85"/>
    <w:rsid w:val="00825138"/>
    <w:rsid w:val="008269DD"/>
    <w:rsid w:val="00830621"/>
    <w:rsid w:val="0083348C"/>
    <w:rsid w:val="008373D3"/>
    <w:rsid w:val="00837ED3"/>
    <w:rsid w:val="00840617"/>
    <w:rsid w:val="008413A8"/>
    <w:rsid w:val="0084240D"/>
    <w:rsid w:val="00842A47"/>
    <w:rsid w:val="00843C13"/>
    <w:rsid w:val="008454F8"/>
    <w:rsid w:val="00851342"/>
    <w:rsid w:val="0085173A"/>
    <w:rsid w:val="00855E2B"/>
    <w:rsid w:val="00856BB1"/>
    <w:rsid w:val="00857323"/>
    <w:rsid w:val="008603CE"/>
    <w:rsid w:val="00861DFA"/>
    <w:rsid w:val="008620FC"/>
    <w:rsid w:val="008627A5"/>
    <w:rsid w:val="00863511"/>
    <w:rsid w:val="00863E05"/>
    <w:rsid w:val="00865ACA"/>
    <w:rsid w:val="00865D28"/>
    <w:rsid w:val="00865F85"/>
    <w:rsid w:val="00867C10"/>
    <w:rsid w:val="00870439"/>
    <w:rsid w:val="00870DA1"/>
    <w:rsid w:val="00873573"/>
    <w:rsid w:val="00873E3C"/>
    <w:rsid w:val="00883F93"/>
    <w:rsid w:val="00884DB3"/>
    <w:rsid w:val="00885A9D"/>
    <w:rsid w:val="008864F6"/>
    <w:rsid w:val="0089049D"/>
    <w:rsid w:val="008928C9"/>
    <w:rsid w:val="008938DC"/>
    <w:rsid w:val="00893FD1"/>
    <w:rsid w:val="00894836"/>
    <w:rsid w:val="00895172"/>
    <w:rsid w:val="00895680"/>
    <w:rsid w:val="00896DFF"/>
    <w:rsid w:val="0089762C"/>
    <w:rsid w:val="008976AC"/>
    <w:rsid w:val="008A1893"/>
    <w:rsid w:val="008A769A"/>
    <w:rsid w:val="008A7B4A"/>
    <w:rsid w:val="008B0C9C"/>
    <w:rsid w:val="008B166D"/>
    <w:rsid w:val="008B17F4"/>
    <w:rsid w:val="008B3615"/>
    <w:rsid w:val="008B4AC4"/>
    <w:rsid w:val="008B50C8"/>
    <w:rsid w:val="008B5281"/>
    <w:rsid w:val="008B7E05"/>
    <w:rsid w:val="008C1797"/>
    <w:rsid w:val="008C219C"/>
    <w:rsid w:val="008C475E"/>
    <w:rsid w:val="008C619A"/>
    <w:rsid w:val="008C6D7A"/>
    <w:rsid w:val="008D0CE8"/>
    <w:rsid w:val="008D2D1D"/>
    <w:rsid w:val="008D453D"/>
    <w:rsid w:val="008D53AD"/>
    <w:rsid w:val="008D562B"/>
    <w:rsid w:val="008D5733"/>
    <w:rsid w:val="008D622B"/>
    <w:rsid w:val="008D666C"/>
    <w:rsid w:val="008D7B54"/>
    <w:rsid w:val="008D7FD3"/>
    <w:rsid w:val="008E0C9D"/>
    <w:rsid w:val="008E1648"/>
    <w:rsid w:val="008E191F"/>
    <w:rsid w:val="008E1B3E"/>
    <w:rsid w:val="008E2319"/>
    <w:rsid w:val="008E4BB6"/>
    <w:rsid w:val="008E5518"/>
    <w:rsid w:val="008E6A84"/>
    <w:rsid w:val="008F0CDC"/>
    <w:rsid w:val="008F17A3"/>
    <w:rsid w:val="008F182C"/>
    <w:rsid w:val="008F1ED3"/>
    <w:rsid w:val="008F37E5"/>
    <w:rsid w:val="008F4C29"/>
    <w:rsid w:val="008F70BD"/>
    <w:rsid w:val="008F788F"/>
    <w:rsid w:val="008F7EA2"/>
    <w:rsid w:val="009004DC"/>
    <w:rsid w:val="00902722"/>
    <w:rsid w:val="009027BC"/>
    <w:rsid w:val="009062E6"/>
    <w:rsid w:val="00911BE5"/>
    <w:rsid w:val="00913CA9"/>
    <w:rsid w:val="009145AE"/>
    <w:rsid w:val="009146CE"/>
    <w:rsid w:val="00914CA7"/>
    <w:rsid w:val="00915C3E"/>
    <w:rsid w:val="009161A8"/>
    <w:rsid w:val="0091673D"/>
    <w:rsid w:val="009245F5"/>
    <w:rsid w:val="009249EC"/>
    <w:rsid w:val="009264B0"/>
    <w:rsid w:val="009273B3"/>
    <w:rsid w:val="009305B5"/>
    <w:rsid w:val="00931CFB"/>
    <w:rsid w:val="00932BC7"/>
    <w:rsid w:val="00934C12"/>
    <w:rsid w:val="009429D5"/>
    <w:rsid w:val="00942BF1"/>
    <w:rsid w:val="00945180"/>
    <w:rsid w:val="00945428"/>
    <w:rsid w:val="0094607B"/>
    <w:rsid w:val="00947ED1"/>
    <w:rsid w:val="00952C52"/>
    <w:rsid w:val="00953604"/>
    <w:rsid w:val="009610DC"/>
    <w:rsid w:val="00961490"/>
    <w:rsid w:val="00962CF3"/>
    <w:rsid w:val="0096381A"/>
    <w:rsid w:val="00965E04"/>
    <w:rsid w:val="009674AD"/>
    <w:rsid w:val="0097094E"/>
    <w:rsid w:val="00970CDC"/>
    <w:rsid w:val="00971C6C"/>
    <w:rsid w:val="00977010"/>
    <w:rsid w:val="00977D02"/>
    <w:rsid w:val="009809BB"/>
    <w:rsid w:val="00981655"/>
    <w:rsid w:val="00982D22"/>
    <w:rsid w:val="0098364B"/>
    <w:rsid w:val="00983BF9"/>
    <w:rsid w:val="009911AF"/>
    <w:rsid w:val="00991875"/>
    <w:rsid w:val="00991F92"/>
    <w:rsid w:val="00992985"/>
    <w:rsid w:val="00993889"/>
    <w:rsid w:val="0099551B"/>
    <w:rsid w:val="00997AC6"/>
    <w:rsid w:val="00997BF1"/>
    <w:rsid w:val="009A089C"/>
    <w:rsid w:val="009A118E"/>
    <w:rsid w:val="009A1D24"/>
    <w:rsid w:val="009A21CD"/>
    <w:rsid w:val="009A278C"/>
    <w:rsid w:val="009A2BC2"/>
    <w:rsid w:val="009A3EEC"/>
    <w:rsid w:val="009A42C1"/>
    <w:rsid w:val="009A5429"/>
    <w:rsid w:val="009A72AD"/>
    <w:rsid w:val="009B09E0"/>
    <w:rsid w:val="009B0B58"/>
    <w:rsid w:val="009B0BC5"/>
    <w:rsid w:val="009B0E79"/>
    <w:rsid w:val="009B1247"/>
    <w:rsid w:val="009B3F86"/>
    <w:rsid w:val="009B6029"/>
    <w:rsid w:val="009B6971"/>
    <w:rsid w:val="009C216C"/>
    <w:rsid w:val="009C240B"/>
    <w:rsid w:val="009C27F1"/>
    <w:rsid w:val="009C3152"/>
    <w:rsid w:val="009C33F9"/>
    <w:rsid w:val="009C4CFA"/>
    <w:rsid w:val="009C5070"/>
    <w:rsid w:val="009C5E02"/>
    <w:rsid w:val="009D0561"/>
    <w:rsid w:val="009D112C"/>
    <w:rsid w:val="009D14FC"/>
    <w:rsid w:val="009D3704"/>
    <w:rsid w:val="009D3805"/>
    <w:rsid w:val="009D47FA"/>
    <w:rsid w:val="009D50D2"/>
    <w:rsid w:val="009D6BCA"/>
    <w:rsid w:val="009E0F62"/>
    <w:rsid w:val="009E427E"/>
    <w:rsid w:val="009E4A58"/>
    <w:rsid w:val="009E5A2D"/>
    <w:rsid w:val="009E5AB2"/>
    <w:rsid w:val="009E6219"/>
    <w:rsid w:val="009F03B3"/>
    <w:rsid w:val="009F3661"/>
    <w:rsid w:val="009F3BAF"/>
    <w:rsid w:val="009F4719"/>
    <w:rsid w:val="009F74FE"/>
    <w:rsid w:val="00A00CED"/>
    <w:rsid w:val="00A01757"/>
    <w:rsid w:val="00A028C0"/>
    <w:rsid w:val="00A02BAE"/>
    <w:rsid w:val="00A06A6B"/>
    <w:rsid w:val="00A07E47"/>
    <w:rsid w:val="00A10C93"/>
    <w:rsid w:val="00A129D0"/>
    <w:rsid w:val="00A12C33"/>
    <w:rsid w:val="00A138BA"/>
    <w:rsid w:val="00A142A2"/>
    <w:rsid w:val="00A14C8E"/>
    <w:rsid w:val="00A153D9"/>
    <w:rsid w:val="00A15F09"/>
    <w:rsid w:val="00A169B6"/>
    <w:rsid w:val="00A212EF"/>
    <w:rsid w:val="00A21460"/>
    <w:rsid w:val="00A2271D"/>
    <w:rsid w:val="00A236E5"/>
    <w:rsid w:val="00A237D5"/>
    <w:rsid w:val="00A24F7B"/>
    <w:rsid w:val="00A30EFC"/>
    <w:rsid w:val="00A31984"/>
    <w:rsid w:val="00A32D73"/>
    <w:rsid w:val="00A32ECE"/>
    <w:rsid w:val="00A3367B"/>
    <w:rsid w:val="00A3597D"/>
    <w:rsid w:val="00A36BEC"/>
    <w:rsid w:val="00A37900"/>
    <w:rsid w:val="00A40091"/>
    <w:rsid w:val="00A4030F"/>
    <w:rsid w:val="00A41C79"/>
    <w:rsid w:val="00A41CB5"/>
    <w:rsid w:val="00A42CDF"/>
    <w:rsid w:val="00A42D36"/>
    <w:rsid w:val="00A4452E"/>
    <w:rsid w:val="00A4472C"/>
    <w:rsid w:val="00A44E69"/>
    <w:rsid w:val="00A4661E"/>
    <w:rsid w:val="00A55BD6"/>
    <w:rsid w:val="00A55D50"/>
    <w:rsid w:val="00A56FFF"/>
    <w:rsid w:val="00A57142"/>
    <w:rsid w:val="00A61122"/>
    <w:rsid w:val="00A61E84"/>
    <w:rsid w:val="00A621FF"/>
    <w:rsid w:val="00A646D8"/>
    <w:rsid w:val="00A648CD"/>
    <w:rsid w:val="00A6537A"/>
    <w:rsid w:val="00A67866"/>
    <w:rsid w:val="00A70B07"/>
    <w:rsid w:val="00A70D07"/>
    <w:rsid w:val="00A723F8"/>
    <w:rsid w:val="00A77CCB"/>
    <w:rsid w:val="00A80947"/>
    <w:rsid w:val="00A818CB"/>
    <w:rsid w:val="00A83D32"/>
    <w:rsid w:val="00A83D8D"/>
    <w:rsid w:val="00A8409C"/>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1C9"/>
    <w:rsid w:val="00AA57F5"/>
    <w:rsid w:val="00AA5B27"/>
    <w:rsid w:val="00AA672E"/>
    <w:rsid w:val="00AA6EC9"/>
    <w:rsid w:val="00AA7F72"/>
    <w:rsid w:val="00AB177C"/>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09F"/>
    <w:rsid w:val="00AE070A"/>
    <w:rsid w:val="00AE101C"/>
    <w:rsid w:val="00AE1575"/>
    <w:rsid w:val="00AE43A2"/>
    <w:rsid w:val="00AE791B"/>
    <w:rsid w:val="00AE7B4F"/>
    <w:rsid w:val="00AF0C18"/>
    <w:rsid w:val="00AF36AB"/>
    <w:rsid w:val="00AF47C5"/>
    <w:rsid w:val="00AF5398"/>
    <w:rsid w:val="00B049AF"/>
    <w:rsid w:val="00B05236"/>
    <w:rsid w:val="00B057C3"/>
    <w:rsid w:val="00B07242"/>
    <w:rsid w:val="00B10534"/>
    <w:rsid w:val="00B10D43"/>
    <w:rsid w:val="00B113DB"/>
    <w:rsid w:val="00B11D8A"/>
    <w:rsid w:val="00B12981"/>
    <w:rsid w:val="00B13922"/>
    <w:rsid w:val="00B14549"/>
    <w:rsid w:val="00B147DD"/>
    <w:rsid w:val="00B156FD"/>
    <w:rsid w:val="00B20247"/>
    <w:rsid w:val="00B21F61"/>
    <w:rsid w:val="00B23045"/>
    <w:rsid w:val="00B261F1"/>
    <w:rsid w:val="00B265BC"/>
    <w:rsid w:val="00B31FB1"/>
    <w:rsid w:val="00B33952"/>
    <w:rsid w:val="00B33C5E"/>
    <w:rsid w:val="00B34099"/>
    <w:rsid w:val="00B342F4"/>
    <w:rsid w:val="00B34369"/>
    <w:rsid w:val="00B34DC2"/>
    <w:rsid w:val="00B35D3C"/>
    <w:rsid w:val="00B378E5"/>
    <w:rsid w:val="00B4151B"/>
    <w:rsid w:val="00B41AA3"/>
    <w:rsid w:val="00B420C4"/>
    <w:rsid w:val="00B4346D"/>
    <w:rsid w:val="00B440F4"/>
    <w:rsid w:val="00B447A5"/>
    <w:rsid w:val="00B4654C"/>
    <w:rsid w:val="00B4702A"/>
    <w:rsid w:val="00B47293"/>
    <w:rsid w:val="00B52120"/>
    <w:rsid w:val="00B54ABC"/>
    <w:rsid w:val="00B56FBE"/>
    <w:rsid w:val="00B60062"/>
    <w:rsid w:val="00B62B58"/>
    <w:rsid w:val="00B65149"/>
    <w:rsid w:val="00B66567"/>
    <w:rsid w:val="00B66F52"/>
    <w:rsid w:val="00B66FE5"/>
    <w:rsid w:val="00B67333"/>
    <w:rsid w:val="00B675B7"/>
    <w:rsid w:val="00B679AE"/>
    <w:rsid w:val="00B72880"/>
    <w:rsid w:val="00B758BF"/>
    <w:rsid w:val="00B77ABD"/>
    <w:rsid w:val="00B80DC6"/>
    <w:rsid w:val="00B827A6"/>
    <w:rsid w:val="00B831CE"/>
    <w:rsid w:val="00B86677"/>
    <w:rsid w:val="00B87131"/>
    <w:rsid w:val="00B9127B"/>
    <w:rsid w:val="00B91566"/>
    <w:rsid w:val="00B9212C"/>
    <w:rsid w:val="00B92A78"/>
    <w:rsid w:val="00B9320C"/>
    <w:rsid w:val="00B939B1"/>
    <w:rsid w:val="00B96D40"/>
    <w:rsid w:val="00B97386"/>
    <w:rsid w:val="00BA1C41"/>
    <w:rsid w:val="00BA21CB"/>
    <w:rsid w:val="00BA22D9"/>
    <w:rsid w:val="00BA263B"/>
    <w:rsid w:val="00BA42B2"/>
    <w:rsid w:val="00BA58D4"/>
    <w:rsid w:val="00BA5B9E"/>
    <w:rsid w:val="00BA7C9A"/>
    <w:rsid w:val="00BB20CE"/>
    <w:rsid w:val="00BB5F8F"/>
    <w:rsid w:val="00BB657A"/>
    <w:rsid w:val="00BC12D1"/>
    <w:rsid w:val="00BC1A4E"/>
    <w:rsid w:val="00BC5DC7"/>
    <w:rsid w:val="00BC6B8B"/>
    <w:rsid w:val="00BC73D8"/>
    <w:rsid w:val="00BC7601"/>
    <w:rsid w:val="00BD044D"/>
    <w:rsid w:val="00BD4285"/>
    <w:rsid w:val="00BD52D7"/>
    <w:rsid w:val="00BD5AD2"/>
    <w:rsid w:val="00BD6082"/>
    <w:rsid w:val="00BE220C"/>
    <w:rsid w:val="00BE22F3"/>
    <w:rsid w:val="00BE49EE"/>
    <w:rsid w:val="00BE5B52"/>
    <w:rsid w:val="00BE7B8D"/>
    <w:rsid w:val="00BF031B"/>
    <w:rsid w:val="00BF0993"/>
    <w:rsid w:val="00BF0A60"/>
    <w:rsid w:val="00BF10A9"/>
    <w:rsid w:val="00BF1703"/>
    <w:rsid w:val="00BF1C37"/>
    <w:rsid w:val="00BF231C"/>
    <w:rsid w:val="00BF51E5"/>
    <w:rsid w:val="00BF637E"/>
    <w:rsid w:val="00BF7474"/>
    <w:rsid w:val="00BF74A6"/>
    <w:rsid w:val="00BF750F"/>
    <w:rsid w:val="00C013AD"/>
    <w:rsid w:val="00C04904"/>
    <w:rsid w:val="00C056B3"/>
    <w:rsid w:val="00C103E5"/>
    <w:rsid w:val="00C12C8C"/>
    <w:rsid w:val="00C13319"/>
    <w:rsid w:val="00C13EE9"/>
    <w:rsid w:val="00C14D87"/>
    <w:rsid w:val="00C21540"/>
    <w:rsid w:val="00C21906"/>
    <w:rsid w:val="00C21BFA"/>
    <w:rsid w:val="00C24C8D"/>
    <w:rsid w:val="00C25FE2"/>
    <w:rsid w:val="00C26B53"/>
    <w:rsid w:val="00C273C1"/>
    <w:rsid w:val="00C279B2"/>
    <w:rsid w:val="00C314B9"/>
    <w:rsid w:val="00C31B7F"/>
    <w:rsid w:val="00C33E50"/>
    <w:rsid w:val="00C34C20"/>
    <w:rsid w:val="00C35A3E"/>
    <w:rsid w:val="00C36357"/>
    <w:rsid w:val="00C37727"/>
    <w:rsid w:val="00C42130"/>
    <w:rsid w:val="00C423A4"/>
    <w:rsid w:val="00C44BF5"/>
    <w:rsid w:val="00C50DD2"/>
    <w:rsid w:val="00C520F6"/>
    <w:rsid w:val="00C546FB"/>
    <w:rsid w:val="00C55232"/>
    <w:rsid w:val="00C553A4"/>
    <w:rsid w:val="00C55A06"/>
    <w:rsid w:val="00C55D03"/>
    <w:rsid w:val="00C601BC"/>
    <w:rsid w:val="00C6329F"/>
    <w:rsid w:val="00C63340"/>
    <w:rsid w:val="00C643F9"/>
    <w:rsid w:val="00C64E95"/>
    <w:rsid w:val="00C655FD"/>
    <w:rsid w:val="00C71372"/>
    <w:rsid w:val="00C72410"/>
    <w:rsid w:val="00C72482"/>
    <w:rsid w:val="00C7287F"/>
    <w:rsid w:val="00C72CE7"/>
    <w:rsid w:val="00C72F0E"/>
    <w:rsid w:val="00C80CB8"/>
    <w:rsid w:val="00C81866"/>
    <w:rsid w:val="00C819F8"/>
    <w:rsid w:val="00C8248C"/>
    <w:rsid w:val="00C82518"/>
    <w:rsid w:val="00C84E33"/>
    <w:rsid w:val="00C851BD"/>
    <w:rsid w:val="00C86D6F"/>
    <w:rsid w:val="00C905FC"/>
    <w:rsid w:val="00C92D03"/>
    <w:rsid w:val="00C9319C"/>
    <w:rsid w:val="00C9435D"/>
    <w:rsid w:val="00C9517F"/>
    <w:rsid w:val="00C96741"/>
    <w:rsid w:val="00CA2D1B"/>
    <w:rsid w:val="00CA662A"/>
    <w:rsid w:val="00CA7AFD"/>
    <w:rsid w:val="00CA7C3C"/>
    <w:rsid w:val="00CB0189"/>
    <w:rsid w:val="00CB0BA2"/>
    <w:rsid w:val="00CB1A42"/>
    <w:rsid w:val="00CB1A8A"/>
    <w:rsid w:val="00CB1B0C"/>
    <w:rsid w:val="00CB2C0B"/>
    <w:rsid w:val="00CB517D"/>
    <w:rsid w:val="00CB630D"/>
    <w:rsid w:val="00CB666A"/>
    <w:rsid w:val="00CC038D"/>
    <w:rsid w:val="00CC39FF"/>
    <w:rsid w:val="00CC3C2F"/>
    <w:rsid w:val="00CC4AC8"/>
    <w:rsid w:val="00CC5233"/>
    <w:rsid w:val="00CC5DE6"/>
    <w:rsid w:val="00CC6236"/>
    <w:rsid w:val="00CC67AB"/>
    <w:rsid w:val="00CC6E4E"/>
    <w:rsid w:val="00CC6FE8"/>
    <w:rsid w:val="00CC7202"/>
    <w:rsid w:val="00CC7B42"/>
    <w:rsid w:val="00CD2808"/>
    <w:rsid w:val="00CD28BF"/>
    <w:rsid w:val="00CD3622"/>
    <w:rsid w:val="00CD4092"/>
    <w:rsid w:val="00CD4A20"/>
    <w:rsid w:val="00CD50A1"/>
    <w:rsid w:val="00CD519E"/>
    <w:rsid w:val="00CE0C4F"/>
    <w:rsid w:val="00CE30EA"/>
    <w:rsid w:val="00CE5331"/>
    <w:rsid w:val="00CF048A"/>
    <w:rsid w:val="00CF155A"/>
    <w:rsid w:val="00CF25B4"/>
    <w:rsid w:val="00CF2947"/>
    <w:rsid w:val="00CF2CA9"/>
    <w:rsid w:val="00CF44B1"/>
    <w:rsid w:val="00CF686F"/>
    <w:rsid w:val="00CF6E60"/>
    <w:rsid w:val="00CF7BCA"/>
    <w:rsid w:val="00D008FD"/>
    <w:rsid w:val="00D0321C"/>
    <w:rsid w:val="00D035EC"/>
    <w:rsid w:val="00D06AB1"/>
    <w:rsid w:val="00D072ED"/>
    <w:rsid w:val="00D07A16"/>
    <w:rsid w:val="00D1067E"/>
    <w:rsid w:val="00D10E2B"/>
    <w:rsid w:val="00D10F50"/>
    <w:rsid w:val="00D11272"/>
    <w:rsid w:val="00D126F5"/>
    <w:rsid w:val="00D1489E"/>
    <w:rsid w:val="00D20392"/>
    <w:rsid w:val="00D20737"/>
    <w:rsid w:val="00D21E81"/>
    <w:rsid w:val="00D223DE"/>
    <w:rsid w:val="00D22C84"/>
    <w:rsid w:val="00D23A08"/>
    <w:rsid w:val="00D25E37"/>
    <w:rsid w:val="00D2661A"/>
    <w:rsid w:val="00D27582"/>
    <w:rsid w:val="00D32719"/>
    <w:rsid w:val="00D33333"/>
    <w:rsid w:val="00D33681"/>
    <w:rsid w:val="00D352A2"/>
    <w:rsid w:val="00D3667A"/>
    <w:rsid w:val="00D40A83"/>
    <w:rsid w:val="00D4162B"/>
    <w:rsid w:val="00D4514F"/>
    <w:rsid w:val="00D451E2"/>
    <w:rsid w:val="00D4545E"/>
    <w:rsid w:val="00D45E89"/>
    <w:rsid w:val="00D45E8D"/>
    <w:rsid w:val="00D466AE"/>
    <w:rsid w:val="00D4734F"/>
    <w:rsid w:val="00D5189B"/>
    <w:rsid w:val="00D51BF3"/>
    <w:rsid w:val="00D6322D"/>
    <w:rsid w:val="00D63276"/>
    <w:rsid w:val="00D66846"/>
    <w:rsid w:val="00D675FB"/>
    <w:rsid w:val="00D71F25"/>
    <w:rsid w:val="00D72017"/>
    <w:rsid w:val="00D77031"/>
    <w:rsid w:val="00D8029D"/>
    <w:rsid w:val="00D84941"/>
    <w:rsid w:val="00D84FA1"/>
    <w:rsid w:val="00D851F0"/>
    <w:rsid w:val="00D86DB7"/>
    <w:rsid w:val="00D9033F"/>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B7C79"/>
    <w:rsid w:val="00DC0321"/>
    <w:rsid w:val="00DC0C77"/>
    <w:rsid w:val="00DC3067"/>
    <w:rsid w:val="00DC370B"/>
    <w:rsid w:val="00DC5B90"/>
    <w:rsid w:val="00DD00F2"/>
    <w:rsid w:val="00DD00FF"/>
    <w:rsid w:val="00DD0619"/>
    <w:rsid w:val="00DD07FB"/>
    <w:rsid w:val="00DD25C6"/>
    <w:rsid w:val="00DD54B0"/>
    <w:rsid w:val="00DD57EE"/>
    <w:rsid w:val="00DD6BCC"/>
    <w:rsid w:val="00DD72EE"/>
    <w:rsid w:val="00DE0A4B"/>
    <w:rsid w:val="00DE2410"/>
    <w:rsid w:val="00DE2939"/>
    <w:rsid w:val="00DE51F0"/>
    <w:rsid w:val="00DE6E81"/>
    <w:rsid w:val="00DE703F"/>
    <w:rsid w:val="00DE7595"/>
    <w:rsid w:val="00DF15BE"/>
    <w:rsid w:val="00DF1961"/>
    <w:rsid w:val="00DF44DE"/>
    <w:rsid w:val="00DF5DEA"/>
    <w:rsid w:val="00E00C94"/>
    <w:rsid w:val="00E01138"/>
    <w:rsid w:val="00E02DFB"/>
    <w:rsid w:val="00E030F9"/>
    <w:rsid w:val="00E0311A"/>
    <w:rsid w:val="00E03138"/>
    <w:rsid w:val="00E06404"/>
    <w:rsid w:val="00E1107B"/>
    <w:rsid w:val="00E11A85"/>
    <w:rsid w:val="00E11D40"/>
    <w:rsid w:val="00E12495"/>
    <w:rsid w:val="00E1255D"/>
    <w:rsid w:val="00E15CCD"/>
    <w:rsid w:val="00E202EF"/>
    <w:rsid w:val="00E210B5"/>
    <w:rsid w:val="00E24868"/>
    <w:rsid w:val="00E2552F"/>
    <w:rsid w:val="00E3137A"/>
    <w:rsid w:val="00E31E8B"/>
    <w:rsid w:val="00E32CCF"/>
    <w:rsid w:val="00E34A98"/>
    <w:rsid w:val="00E35A3D"/>
    <w:rsid w:val="00E35D1E"/>
    <w:rsid w:val="00E364F9"/>
    <w:rsid w:val="00E365FA"/>
    <w:rsid w:val="00E40C94"/>
    <w:rsid w:val="00E43B5F"/>
    <w:rsid w:val="00E44A83"/>
    <w:rsid w:val="00E502C1"/>
    <w:rsid w:val="00E502DD"/>
    <w:rsid w:val="00E50D3A"/>
    <w:rsid w:val="00E51387"/>
    <w:rsid w:val="00E51E68"/>
    <w:rsid w:val="00E523CB"/>
    <w:rsid w:val="00E52EFD"/>
    <w:rsid w:val="00E5408A"/>
    <w:rsid w:val="00E546AC"/>
    <w:rsid w:val="00E56800"/>
    <w:rsid w:val="00E5771F"/>
    <w:rsid w:val="00E60CD7"/>
    <w:rsid w:val="00E62531"/>
    <w:rsid w:val="00E62FF9"/>
    <w:rsid w:val="00E635D6"/>
    <w:rsid w:val="00E639BC"/>
    <w:rsid w:val="00E664CC"/>
    <w:rsid w:val="00E67DBB"/>
    <w:rsid w:val="00E70388"/>
    <w:rsid w:val="00E70F92"/>
    <w:rsid w:val="00E74C54"/>
    <w:rsid w:val="00E7571B"/>
    <w:rsid w:val="00E773FD"/>
    <w:rsid w:val="00E77A03"/>
    <w:rsid w:val="00E822E8"/>
    <w:rsid w:val="00E82554"/>
    <w:rsid w:val="00E82606"/>
    <w:rsid w:val="00E846C8"/>
    <w:rsid w:val="00E84957"/>
    <w:rsid w:val="00E84A55"/>
    <w:rsid w:val="00E85BFF"/>
    <w:rsid w:val="00E85DD6"/>
    <w:rsid w:val="00E90391"/>
    <w:rsid w:val="00E906C2"/>
    <w:rsid w:val="00E9311F"/>
    <w:rsid w:val="00E934D1"/>
    <w:rsid w:val="00E941C9"/>
    <w:rsid w:val="00E94AF0"/>
    <w:rsid w:val="00E94DEC"/>
    <w:rsid w:val="00E95D13"/>
    <w:rsid w:val="00E95DD3"/>
    <w:rsid w:val="00E969D5"/>
    <w:rsid w:val="00EA58D1"/>
    <w:rsid w:val="00EA61BC"/>
    <w:rsid w:val="00EA681A"/>
    <w:rsid w:val="00EA735B"/>
    <w:rsid w:val="00EB1E69"/>
    <w:rsid w:val="00EB2086"/>
    <w:rsid w:val="00EB5EDF"/>
    <w:rsid w:val="00EB60FE"/>
    <w:rsid w:val="00EB74DB"/>
    <w:rsid w:val="00EC26B8"/>
    <w:rsid w:val="00EC5359"/>
    <w:rsid w:val="00EC562A"/>
    <w:rsid w:val="00EC7AFE"/>
    <w:rsid w:val="00ED067A"/>
    <w:rsid w:val="00ED28C8"/>
    <w:rsid w:val="00ED2B50"/>
    <w:rsid w:val="00ED3975"/>
    <w:rsid w:val="00ED73BE"/>
    <w:rsid w:val="00ED7F60"/>
    <w:rsid w:val="00EE0350"/>
    <w:rsid w:val="00EE0719"/>
    <w:rsid w:val="00EE0E80"/>
    <w:rsid w:val="00EE4E14"/>
    <w:rsid w:val="00EE613F"/>
    <w:rsid w:val="00EE7295"/>
    <w:rsid w:val="00EE7869"/>
    <w:rsid w:val="00EF054A"/>
    <w:rsid w:val="00EF2BDE"/>
    <w:rsid w:val="00EF3235"/>
    <w:rsid w:val="00EF7E72"/>
    <w:rsid w:val="00F06D37"/>
    <w:rsid w:val="00F07B9D"/>
    <w:rsid w:val="00F11586"/>
    <w:rsid w:val="00F1183B"/>
    <w:rsid w:val="00F11C9F"/>
    <w:rsid w:val="00F12263"/>
    <w:rsid w:val="00F1409D"/>
    <w:rsid w:val="00F14214"/>
    <w:rsid w:val="00F146BD"/>
    <w:rsid w:val="00F157A9"/>
    <w:rsid w:val="00F16ED6"/>
    <w:rsid w:val="00F24F2C"/>
    <w:rsid w:val="00F25BB6"/>
    <w:rsid w:val="00F26B7E"/>
    <w:rsid w:val="00F27A3B"/>
    <w:rsid w:val="00F33817"/>
    <w:rsid w:val="00F37081"/>
    <w:rsid w:val="00F420D5"/>
    <w:rsid w:val="00F4423B"/>
    <w:rsid w:val="00F451EA"/>
    <w:rsid w:val="00F453D9"/>
    <w:rsid w:val="00F45447"/>
    <w:rsid w:val="00F456C6"/>
    <w:rsid w:val="00F4577B"/>
    <w:rsid w:val="00F46496"/>
    <w:rsid w:val="00F474D0"/>
    <w:rsid w:val="00F50179"/>
    <w:rsid w:val="00F56511"/>
    <w:rsid w:val="00F60A4B"/>
    <w:rsid w:val="00F6194E"/>
    <w:rsid w:val="00F623AC"/>
    <w:rsid w:val="00F6412A"/>
    <w:rsid w:val="00F65893"/>
    <w:rsid w:val="00F66A4A"/>
    <w:rsid w:val="00F71E22"/>
    <w:rsid w:val="00F72142"/>
    <w:rsid w:val="00F72AE7"/>
    <w:rsid w:val="00F74B69"/>
    <w:rsid w:val="00F83E3F"/>
    <w:rsid w:val="00F84934"/>
    <w:rsid w:val="00F84FD0"/>
    <w:rsid w:val="00F859A8"/>
    <w:rsid w:val="00F9108B"/>
    <w:rsid w:val="00F91349"/>
    <w:rsid w:val="00F92654"/>
    <w:rsid w:val="00F92CF8"/>
    <w:rsid w:val="00F9369E"/>
    <w:rsid w:val="00F93A8A"/>
    <w:rsid w:val="00F95248"/>
    <w:rsid w:val="00F956A9"/>
    <w:rsid w:val="00F963ED"/>
    <w:rsid w:val="00F966CF"/>
    <w:rsid w:val="00F96CAE"/>
    <w:rsid w:val="00F97C99"/>
    <w:rsid w:val="00FA662D"/>
    <w:rsid w:val="00FA73B1"/>
    <w:rsid w:val="00FA76F0"/>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040B"/>
    <w:rsid w:val="00FE1FBE"/>
    <w:rsid w:val="00FE3901"/>
    <w:rsid w:val="00FE4668"/>
    <w:rsid w:val="00FE4BCE"/>
    <w:rsid w:val="00FE54AE"/>
    <w:rsid w:val="00FE576A"/>
    <w:rsid w:val="00FE61CF"/>
    <w:rsid w:val="00FE7E79"/>
    <w:rsid w:val="00FF3E7D"/>
    <w:rsid w:val="00FF5B99"/>
    <w:rsid w:val="00FF730C"/>
    <w:rsid w:val="00FF73F4"/>
    <w:rsid w:val="00FF7CE4"/>
    <w:rsid w:val="00FF7E39"/>
    <w:rsid w:val="01ED151D"/>
    <w:rsid w:val="249226D6"/>
    <w:rsid w:val="24E526E0"/>
    <w:rsid w:val="2F5901B8"/>
    <w:rsid w:val="34B65AB4"/>
    <w:rsid w:val="3583585A"/>
    <w:rsid w:val="3B9055CD"/>
    <w:rsid w:val="3E834C59"/>
    <w:rsid w:val="3FFB4BBD"/>
    <w:rsid w:val="410E3E35"/>
    <w:rsid w:val="429A07C3"/>
    <w:rsid w:val="45F75F2C"/>
    <w:rsid w:val="465161EB"/>
    <w:rsid w:val="4CEA2347"/>
    <w:rsid w:val="534D122D"/>
    <w:rsid w:val="5C3046CA"/>
    <w:rsid w:val="630E6937"/>
    <w:rsid w:val="632A7853"/>
    <w:rsid w:val="6FE5312D"/>
    <w:rsid w:val="71A118AB"/>
    <w:rsid w:val="79841526"/>
    <w:rsid w:val="7A9126F6"/>
    <w:rsid w:val="7DC31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qFormat/>
    <w:uiPriority w:val="99"/>
    <w:rPr>
      <w:rFonts w:ascii="宋体" w:hAnsi="宋体" w:eastAsia="宋体" w:cs="Times New Roman"/>
      <w:spacing w:val="0"/>
      <w:sz w:val="18"/>
      <w:vertAlign w:val="superscript"/>
    </w:rPr>
  </w:style>
  <w:style w:type="character" w:customStyle="1" w:styleId="34">
    <w:name w:val="标题 1 字符"/>
    <w:link w:val="2"/>
    <w:autoRedefine/>
    <w:qFormat/>
    <w:uiPriority w:val="0"/>
    <w:rPr>
      <w:rFonts w:ascii="Times New Roman" w:hAnsi="Times New Roman" w:eastAsia="宋体" w:cs="Times New Roman"/>
      <w:b/>
      <w:bCs/>
      <w:kern w:val="44"/>
      <w:sz w:val="44"/>
      <w:szCs w:val="44"/>
    </w:rPr>
  </w:style>
  <w:style w:type="character" w:customStyle="1" w:styleId="35">
    <w:name w:val="标题 2 字符"/>
    <w:link w:val="3"/>
    <w:autoRedefine/>
    <w:qFormat/>
    <w:uiPriority w:val="0"/>
    <w:rPr>
      <w:rFonts w:ascii="Arial" w:hAnsi="Arial" w:eastAsia="黑体" w:cs="Times New Roman"/>
      <w:b/>
      <w:bCs/>
      <w:sz w:val="32"/>
      <w:szCs w:val="32"/>
    </w:rPr>
  </w:style>
  <w:style w:type="character" w:customStyle="1" w:styleId="36">
    <w:name w:val="标题 3 字符"/>
    <w:link w:val="4"/>
    <w:autoRedefine/>
    <w:qFormat/>
    <w:uiPriority w:val="0"/>
    <w:rPr>
      <w:rFonts w:ascii="Times New Roman" w:hAnsi="Times New Roman" w:eastAsia="宋体" w:cs="Times New Roman"/>
      <w:b/>
      <w:bCs/>
      <w:sz w:val="32"/>
      <w:szCs w:val="32"/>
    </w:rPr>
  </w:style>
  <w:style w:type="character" w:customStyle="1" w:styleId="37">
    <w:name w:val="标题 4 字符"/>
    <w:link w:val="5"/>
    <w:autoRedefine/>
    <w:qFormat/>
    <w:uiPriority w:val="0"/>
    <w:rPr>
      <w:rFonts w:ascii="Arial" w:hAnsi="Arial" w:eastAsia="黑体" w:cs="Times New Roman"/>
      <w:b/>
      <w:bCs/>
      <w:sz w:val="28"/>
      <w:szCs w:val="28"/>
    </w:rPr>
  </w:style>
  <w:style w:type="character" w:customStyle="1" w:styleId="38">
    <w:name w:val="标题 5 字符"/>
    <w:link w:val="6"/>
    <w:autoRedefine/>
    <w:qFormat/>
    <w:uiPriority w:val="0"/>
    <w:rPr>
      <w:rFonts w:ascii="Times New Roman" w:hAnsi="Times New Roman" w:eastAsia="宋体" w:cs="Times New Roman"/>
      <w:b/>
      <w:bCs/>
      <w:sz w:val="28"/>
      <w:szCs w:val="28"/>
    </w:rPr>
  </w:style>
  <w:style w:type="character" w:customStyle="1" w:styleId="39">
    <w:name w:val="标题 6 字符"/>
    <w:link w:val="7"/>
    <w:autoRedefine/>
    <w:qFormat/>
    <w:uiPriority w:val="0"/>
    <w:rPr>
      <w:rFonts w:ascii="Arial" w:hAnsi="Arial" w:eastAsia="黑体" w:cs="Times New Roman"/>
      <w:b/>
      <w:bCs/>
      <w:sz w:val="24"/>
      <w:szCs w:val="24"/>
    </w:rPr>
  </w:style>
  <w:style w:type="character" w:customStyle="1" w:styleId="40">
    <w:name w:val="标题 7 字符"/>
    <w:link w:val="8"/>
    <w:autoRedefine/>
    <w:qFormat/>
    <w:uiPriority w:val="0"/>
    <w:rPr>
      <w:rFonts w:ascii="Times New Roman" w:hAnsi="Times New Roman" w:eastAsia="宋体" w:cs="Times New Roman"/>
      <w:b/>
      <w:bCs/>
      <w:sz w:val="24"/>
      <w:szCs w:val="24"/>
    </w:rPr>
  </w:style>
  <w:style w:type="character" w:customStyle="1" w:styleId="41">
    <w:name w:val="标题 8 字符"/>
    <w:link w:val="9"/>
    <w:autoRedefine/>
    <w:qFormat/>
    <w:uiPriority w:val="0"/>
    <w:rPr>
      <w:rFonts w:ascii="Arial" w:hAnsi="Arial" w:eastAsia="黑体" w:cs="Times New Roman"/>
      <w:sz w:val="24"/>
      <w:szCs w:val="24"/>
    </w:rPr>
  </w:style>
  <w:style w:type="character" w:customStyle="1" w:styleId="42">
    <w:name w:val="标题 9 字符"/>
    <w:link w:val="10"/>
    <w:autoRedefine/>
    <w:qFormat/>
    <w:uiPriority w:val="0"/>
    <w:rPr>
      <w:rFonts w:ascii="Arial" w:hAnsi="Arial" w:eastAsia="黑体" w:cs="Times New Roman"/>
      <w:szCs w:val="21"/>
    </w:rPr>
  </w:style>
  <w:style w:type="character" w:customStyle="1" w:styleId="43">
    <w:name w:val="页眉 字符"/>
    <w:link w:val="18"/>
    <w:autoRedefine/>
    <w:qFormat/>
    <w:uiPriority w:val="99"/>
    <w:rPr>
      <w:rFonts w:ascii="Times New Roman" w:hAnsi="Times New Roman" w:eastAsia="宋体" w:cs="Times New Roman"/>
      <w:sz w:val="18"/>
      <w:szCs w:val="18"/>
    </w:rPr>
  </w:style>
  <w:style w:type="character" w:customStyle="1" w:styleId="44">
    <w:name w:val="页脚 字符"/>
    <w:link w:val="17"/>
    <w:autoRedefine/>
    <w:qFormat/>
    <w:uiPriority w:val="99"/>
    <w:rPr>
      <w:rFonts w:ascii="宋体" w:hAnsi="Times New Roman" w:eastAsia="宋体" w:cs="Times New Roman"/>
      <w:sz w:val="18"/>
      <w:szCs w:val="18"/>
    </w:rPr>
  </w:style>
  <w:style w:type="character" w:customStyle="1" w:styleId="45">
    <w:name w:val="批注框文本 字符"/>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rPr>
  </w:style>
  <w:style w:type="character" w:customStyle="1" w:styleId="48">
    <w:name w:val="标题 字符"/>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rFonts w:ascii="Times New Roman" w:hAnsi="Times New Roman" w:eastAsia="宋体" w:cs="Times New Roman"/>
      <w:szCs w:val="20"/>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29">
    <w:name w:val="段"/>
    <w:link w:val="23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0">
    <w:name w:val="段 Char"/>
    <w:link w:val="229"/>
    <w:qFormat/>
    <w:uiPriority w:val="0"/>
    <w:rPr>
      <w:rFonts w:ascii="宋体" w:hAnsi="Times New Roman"/>
      <w:sz w:val="21"/>
    </w:rPr>
  </w:style>
  <w:style w:type="paragraph" w:customStyle="1" w:styleId="231">
    <w:name w:val="一级条标题"/>
    <w:next w:val="229"/>
    <w:autoRedefine/>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2">
    <w:name w:val="章标题"/>
    <w:next w:val="229"/>
    <w:autoRedefine/>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3">
    <w:name w:val="二级条标题"/>
    <w:basedOn w:val="231"/>
    <w:next w:val="229"/>
    <w:autoRedefine/>
    <w:qFormat/>
    <w:uiPriority w:val="0"/>
    <w:pPr>
      <w:spacing w:before="50" w:after="50"/>
      <w:outlineLvl w:val="3"/>
    </w:pPr>
  </w:style>
  <w:style w:type="paragraph" w:customStyle="1" w:styleId="234">
    <w:name w:val="三级条标题"/>
    <w:basedOn w:val="233"/>
    <w:next w:val="229"/>
    <w:autoRedefine/>
    <w:qFormat/>
    <w:uiPriority w:val="0"/>
    <w:pPr>
      <w:numPr>
        <w:ilvl w:val="0"/>
        <w:numId w:val="0"/>
      </w:numPr>
      <w:outlineLvl w:val="4"/>
    </w:pPr>
  </w:style>
  <w:style w:type="paragraph" w:customStyle="1" w:styleId="235">
    <w:name w:val="四级条标题"/>
    <w:basedOn w:val="234"/>
    <w:next w:val="229"/>
    <w:autoRedefine/>
    <w:qFormat/>
    <w:uiPriority w:val="0"/>
    <w:pPr>
      <w:outlineLvl w:val="5"/>
    </w:pPr>
  </w:style>
  <w:style w:type="paragraph" w:customStyle="1" w:styleId="236">
    <w:name w:val="五级条标题"/>
    <w:basedOn w:val="235"/>
    <w:next w:val="229"/>
    <w:qFormat/>
    <w:uiPriority w:val="0"/>
    <w:pPr>
      <w:outlineLvl w:val="6"/>
    </w:pPr>
  </w:style>
  <w:style w:type="paragraph" w:customStyle="1" w:styleId="237">
    <w:name w:val="MTDisplayEquation"/>
    <w:basedOn w:val="1"/>
    <w:next w:val="1"/>
    <w:link w:val="238"/>
    <w:qFormat/>
    <w:uiPriority w:val="0"/>
    <w:pPr>
      <w:widowControl/>
      <w:tabs>
        <w:tab w:val="center" w:pos="4338"/>
        <w:tab w:val="center" w:pos="4820"/>
        <w:tab w:val="right" w:pos="8675"/>
        <w:tab w:val="right" w:pos="9640"/>
      </w:tabs>
      <w:adjustRightInd/>
      <w:spacing w:line="240" w:lineRule="auto"/>
      <w:ind w:firstLine="420" w:firstLineChars="200"/>
      <w:jc w:val="right"/>
    </w:pPr>
    <w:rPr>
      <w:rFonts w:ascii="Times New Roman" w:hAnsi="Times New Roman"/>
      <w:kern w:val="0"/>
    </w:rPr>
  </w:style>
  <w:style w:type="character" w:customStyle="1" w:styleId="238">
    <w:name w:val="MTDisplayEquation 字符"/>
    <w:basedOn w:val="28"/>
    <w:link w:val="237"/>
    <w:autoRedefine/>
    <w:qFormat/>
    <w:uiPriority w:val="0"/>
    <w:rPr>
      <w:rFonts w:ascii="Times New Roman" w:hAnsi="Times New Roman"/>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4.jpeg"/><Relationship Id="rId25" Type="http://schemas.openxmlformats.org/officeDocument/2006/relationships/image" Target="media/image3.png"/><Relationship Id="rId24" Type="http://schemas.openxmlformats.org/officeDocument/2006/relationships/image" Target="media/image2.tif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C996EE143542FB85FED8536D65E15C"/>
        <w:style w:val=""/>
        <w:category>
          <w:name w:val="常规"/>
          <w:gallery w:val="placeholder"/>
        </w:category>
        <w:types>
          <w:type w:val="bbPlcHdr"/>
        </w:types>
        <w:behaviors>
          <w:behavior w:val="content"/>
        </w:behaviors>
        <w:description w:val=""/>
        <w:guid w:val="{6014CD16-776C-4E4E-9686-D73DB6564693}"/>
      </w:docPartPr>
      <w:docPartBody>
        <w:p>
          <w:pPr>
            <w:pStyle w:val="5"/>
          </w:pPr>
          <w:r>
            <w:rPr>
              <w:rStyle w:val="4"/>
              <w:rFonts w:hint="eastAsia"/>
            </w:rPr>
            <w:t>单击或点击此处输入文字。</w:t>
          </w:r>
        </w:p>
      </w:docPartBody>
    </w:docPart>
    <w:docPart>
      <w:docPartPr>
        <w:name w:val="87CD6C70E0B448968D8A33F0028D7F2F"/>
        <w:style w:val=""/>
        <w:category>
          <w:name w:val="常规"/>
          <w:gallery w:val="placeholder"/>
        </w:category>
        <w:types>
          <w:type w:val="bbPlcHdr"/>
        </w:types>
        <w:behaviors>
          <w:behavior w:val="content"/>
        </w:behaviors>
        <w:description w:val=""/>
        <w:guid w:val="{207B2411-8C87-490D-9706-BD825622ED77}"/>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6B"/>
    <w:rsid w:val="00062756"/>
    <w:rsid w:val="00097D34"/>
    <w:rsid w:val="00161EB3"/>
    <w:rsid w:val="00221161"/>
    <w:rsid w:val="002B6C9B"/>
    <w:rsid w:val="004D0F99"/>
    <w:rsid w:val="004D7EBF"/>
    <w:rsid w:val="005007EB"/>
    <w:rsid w:val="005D6097"/>
    <w:rsid w:val="0061226B"/>
    <w:rsid w:val="006F2024"/>
    <w:rsid w:val="00723AAF"/>
    <w:rsid w:val="00756BE9"/>
    <w:rsid w:val="007A63F4"/>
    <w:rsid w:val="00824A69"/>
    <w:rsid w:val="00851AD4"/>
    <w:rsid w:val="0097529B"/>
    <w:rsid w:val="00A21787"/>
    <w:rsid w:val="00AB3346"/>
    <w:rsid w:val="00AD3399"/>
    <w:rsid w:val="00AF6ACD"/>
    <w:rsid w:val="00B00CB8"/>
    <w:rsid w:val="00B23A0E"/>
    <w:rsid w:val="00B76476"/>
    <w:rsid w:val="00BF5F65"/>
    <w:rsid w:val="00CA5E51"/>
    <w:rsid w:val="00CD250B"/>
    <w:rsid w:val="00D11EB7"/>
    <w:rsid w:val="00DC008A"/>
    <w:rsid w:val="00DE2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11C996EE143542FB85FED8536D65E15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7CD6C70E0B448968D8A33F0028D7F2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extobjs>
    <extobj name="ECB019B1-382A-4266-B25C-5B523AA43C14-1">
      <extobjdata type="ECB019B1-382A-4266-B25C-5B523AA43C14" data="ewoJIkZpbGVJZCIgOiAiMjk3NTAwODMzNTQzIiwKCSJHcm91cElkIiA6ICI2NzkzNDM4OTUiLAoJIkltYWdlIiA6ICJpVkJPUncwS0dnb0FBQUFOU1VoRVVnQUFCVllBQUFKQUNBWUFBQUJtRVQwYUFBQUFBWE5TUjBJQXJzNGM2UUFBSUFCSlJFRlVlSnpzM1hkOFZGWDZ4L0h2dVRQcGhLTFNDVTBnMUpDWmlHMnRpK1Zud2NLcXE0dUMzWFVWWEZBVVpRVUZHNjZnQzRvVkVYUlJzYUN1c0NvV0JHVlZTQ1lKMGd4SWFNRVNlaUNrekp6ZkgwbkdERWtnUTNFSWZONnZGeSs0NTU1NzVwbVo1Q0h6NU54ekp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M0YVB4L3Zvak1QVTBQd0o4QUFBQUFTVVZPUks1Q1lJST0iLAoJIlRoZW1lIiA6ICIiLAoJIlR5cGUiIDogImZsb3ciLAoJIlZlcnNpb24iIDogIjIwIgp9Cg=="/>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9BA2D-66B5-4977-ADF2-A2274953CB41}">
  <ds:schemaRefs/>
</ds:datastoreItem>
</file>

<file path=docProps/app.xml><?xml version="1.0" encoding="utf-8"?>
<Properties xmlns="http://schemas.openxmlformats.org/officeDocument/2006/extended-properties" xmlns:vt="http://schemas.openxmlformats.org/officeDocument/2006/docPropsVTypes">
  <Template>国家标准</Template>
  <Company>PCMI</Company>
  <Pages>24</Pages>
  <Words>10879</Words>
  <Characters>12586</Characters>
  <Lines>131</Lines>
  <Paragraphs>36</Paragraphs>
  <TotalTime>4</TotalTime>
  <ScaleCrop>false</ScaleCrop>
  <LinksUpToDate>false</LinksUpToDate>
  <CharactersWithSpaces>12987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2024-05-10T01:03:00Z</dcterms:created>
  <dc:creator>Santa Claus</dc:creator>
  <dc:description>&lt;config cover="true" show_menu="true" version="1.0.0" doctype="SDKXY"&gt;_x000d_
&lt;/config&gt;</dc:description>
  <cp:lastModifiedBy>iam大灰狠</cp:lastModifiedBy>
  <cp:lastPrinted>2021-02-02T07:44:00Z</cp:lastPrinted>
  <dcterms:modified xsi:type="dcterms:W3CDTF">2024-05-18T02:16:35Z</dcterms:modified>
  <dc:title>国家标准</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E9CB4FA86835478FB91360ECA804DB0A_13</vt:lpwstr>
  </property>
</Properties>
</file>